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83F18" w14:textId="1FFF3FD7" w:rsidR="00BF0E5F" w:rsidRPr="0030549D" w:rsidRDefault="00B45A40">
      <w:pPr>
        <w:spacing w:after="0" w:line="240" w:lineRule="auto"/>
        <w:rPr>
          <w:b/>
          <w:bCs/>
        </w:rPr>
      </w:pPr>
      <w:r>
        <w:rPr>
          <w:b/>
          <w:bCs/>
          <w:noProof/>
        </w:rPr>
        <w:drawing>
          <wp:anchor distT="0" distB="9525" distL="114300" distR="114300" simplePos="0" relativeHeight="2" behindDoc="0" locked="0" layoutInCell="1" allowOverlap="1" wp14:anchorId="3BC92FC5" wp14:editId="303A7B40">
            <wp:simplePos x="0" y="0"/>
            <wp:positionH relativeFrom="column">
              <wp:posOffset>4481830</wp:posOffset>
            </wp:positionH>
            <wp:positionV relativeFrom="paragraph">
              <wp:posOffset>-223520</wp:posOffset>
            </wp:positionV>
            <wp:extent cx="1534160" cy="448310"/>
            <wp:effectExtent l="0" t="0" r="0" b="0"/>
            <wp:wrapNone/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D9449F" w14:textId="77777777" w:rsidR="00BF0E5F" w:rsidRDefault="00BF0E5F">
      <w:pPr>
        <w:spacing w:after="0" w:line="240" w:lineRule="auto"/>
        <w:rPr>
          <w:b/>
          <w:bCs/>
          <w:sz w:val="28"/>
          <w:szCs w:val="28"/>
        </w:rPr>
      </w:pPr>
    </w:p>
    <w:p w14:paraId="24DC0E26" w14:textId="77777777" w:rsidR="00EE6B70" w:rsidRDefault="00EE6B70">
      <w:pPr>
        <w:spacing w:after="0" w:line="240" w:lineRule="auto"/>
        <w:rPr>
          <w:b/>
          <w:bCs/>
          <w:sz w:val="28"/>
          <w:szCs w:val="28"/>
        </w:rPr>
      </w:pPr>
    </w:p>
    <w:p w14:paraId="2E2A7DDA" w14:textId="01AB54AC" w:rsidR="00BF0E5F" w:rsidRDefault="00B45A4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PRESSEINFORMATION</w:t>
      </w:r>
    </w:p>
    <w:p w14:paraId="2F2AD1DD" w14:textId="77777777" w:rsidR="00BF0E5F" w:rsidRDefault="00BF0E5F">
      <w:pPr>
        <w:spacing w:after="0" w:line="240" w:lineRule="auto"/>
        <w:rPr>
          <w:b/>
          <w:bCs/>
        </w:rPr>
      </w:pPr>
    </w:p>
    <w:p w14:paraId="18C1D192" w14:textId="77777777" w:rsidR="00BF0E5F" w:rsidRDefault="00BF0E5F">
      <w:pPr>
        <w:spacing w:after="0" w:line="240" w:lineRule="auto"/>
        <w:rPr>
          <w:b/>
          <w:bCs/>
        </w:rPr>
      </w:pPr>
    </w:p>
    <w:p w14:paraId="11501D8A" w14:textId="23709696" w:rsidR="00BF0E5F" w:rsidRDefault="00BF0E5F">
      <w:pPr>
        <w:spacing w:after="0" w:line="240" w:lineRule="auto"/>
        <w:rPr>
          <w:b/>
          <w:bCs/>
        </w:rPr>
      </w:pPr>
    </w:p>
    <w:p w14:paraId="314DBA95" w14:textId="77777777" w:rsidR="0030602F" w:rsidRDefault="0030602F">
      <w:pPr>
        <w:spacing w:after="0" w:line="240" w:lineRule="auto"/>
        <w:rPr>
          <w:b/>
          <w:bCs/>
        </w:rPr>
      </w:pPr>
    </w:p>
    <w:p w14:paraId="0501006A" w14:textId="77777777" w:rsidR="00EE6B70" w:rsidRDefault="00EE6B70">
      <w:pPr>
        <w:spacing w:after="0" w:line="240" w:lineRule="auto"/>
        <w:rPr>
          <w:b/>
          <w:bCs/>
        </w:rPr>
      </w:pPr>
    </w:p>
    <w:p w14:paraId="4989F04E" w14:textId="5A1023A8" w:rsidR="00BF0E5F" w:rsidRDefault="00517F49">
      <w:pPr>
        <w:spacing w:after="0" w:line="240" w:lineRule="auto"/>
        <w:rPr>
          <w:b/>
          <w:bCs/>
        </w:rPr>
      </w:pPr>
      <w:r>
        <w:rPr>
          <w:b/>
          <w:bCs/>
        </w:rPr>
        <w:t>Geld sparen beim Home Entertainment</w:t>
      </w:r>
    </w:p>
    <w:p w14:paraId="4BD4AA84" w14:textId="7B8C09EF" w:rsidR="00BF0E5F" w:rsidRPr="00E561F8" w:rsidRDefault="00E561F8">
      <w:pPr>
        <w:spacing w:after="0" w:line="240" w:lineRule="auto"/>
        <w:rPr>
          <w:b/>
          <w:bCs/>
          <w:sz w:val="34"/>
          <w:szCs w:val="34"/>
        </w:rPr>
      </w:pPr>
      <w:r w:rsidRPr="00E561F8">
        <w:rPr>
          <w:b/>
          <w:bCs/>
          <w:sz w:val="34"/>
          <w:szCs w:val="34"/>
        </w:rPr>
        <w:t xml:space="preserve">Geizhals.at: </w:t>
      </w:r>
      <w:r w:rsidR="005D5D74" w:rsidRPr="00E561F8">
        <w:rPr>
          <w:b/>
          <w:bCs/>
          <w:sz w:val="34"/>
          <w:szCs w:val="34"/>
        </w:rPr>
        <w:t xml:space="preserve">Fernseher </w:t>
      </w:r>
      <w:r w:rsidR="00174B56" w:rsidRPr="00E561F8">
        <w:rPr>
          <w:b/>
          <w:bCs/>
          <w:sz w:val="34"/>
          <w:szCs w:val="34"/>
        </w:rPr>
        <w:t xml:space="preserve">nach einem Jahr </w:t>
      </w:r>
      <w:r w:rsidR="00306183" w:rsidRPr="00E561F8">
        <w:rPr>
          <w:b/>
          <w:bCs/>
          <w:sz w:val="34"/>
          <w:szCs w:val="34"/>
        </w:rPr>
        <w:t xml:space="preserve">um ein Drittel </w:t>
      </w:r>
      <w:r w:rsidR="00174B56" w:rsidRPr="00E561F8">
        <w:rPr>
          <w:b/>
          <w:bCs/>
          <w:sz w:val="34"/>
          <w:szCs w:val="34"/>
        </w:rPr>
        <w:t xml:space="preserve">günstiger </w:t>
      </w:r>
    </w:p>
    <w:p w14:paraId="51198A17" w14:textId="77777777" w:rsidR="007F0AD3" w:rsidRDefault="007F0AD3">
      <w:pPr>
        <w:spacing w:after="0" w:line="240" w:lineRule="auto"/>
        <w:rPr>
          <w:b/>
          <w:bCs/>
        </w:rPr>
      </w:pPr>
    </w:p>
    <w:p w14:paraId="68A2D519" w14:textId="782F7C5A" w:rsidR="00C50217" w:rsidRDefault="007750E2" w:rsidP="007750E2">
      <w:pPr>
        <w:pStyle w:val="Listenabsatz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 w:themeColor="text1"/>
        </w:rPr>
      </w:pPr>
      <w:r w:rsidRPr="007750E2">
        <w:rPr>
          <w:rFonts w:eastAsia="Times New Roman" w:cstheme="minorHAnsi"/>
          <w:b/>
          <w:bCs/>
          <w:color w:val="000000" w:themeColor="text1"/>
        </w:rPr>
        <w:t xml:space="preserve">Die Durchschnittspreise für Fernseher sind in den </w:t>
      </w:r>
      <w:r w:rsidR="00D17C71">
        <w:rPr>
          <w:rFonts w:eastAsia="Times New Roman" w:cstheme="minorHAnsi"/>
          <w:b/>
          <w:bCs/>
          <w:color w:val="000000" w:themeColor="text1"/>
        </w:rPr>
        <w:t>vergangenen</w:t>
      </w:r>
      <w:r w:rsidR="00410B9B">
        <w:rPr>
          <w:rFonts w:eastAsia="Times New Roman" w:cstheme="minorHAnsi"/>
          <w:b/>
          <w:bCs/>
          <w:color w:val="000000" w:themeColor="text1"/>
        </w:rPr>
        <w:t xml:space="preserve"> </w:t>
      </w:r>
      <w:r w:rsidRPr="007750E2">
        <w:rPr>
          <w:rFonts w:eastAsia="Times New Roman" w:cstheme="minorHAnsi"/>
          <w:b/>
          <w:bCs/>
          <w:color w:val="000000" w:themeColor="text1"/>
        </w:rPr>
        <w:t>fünf Jahre konstant gestiegen.</w:t>
      </w:r>
    </w:p>
    <w:p w14:paraId="79FEF271" w14:textId="5A91CB8A" w:rsidR="00B5411B" w:rsidRPr="004A08A1" w:rsidRDefault="00B5411B" w:rsidP="004A08A1">
      <w:pPr>
        <w:pStyle w:val="Listenabsatz"/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Wer auf den </w:t>
      </w:r>
      <w:r w:rsidRPr="005F3B6B">
        <w:rPr>
          <w:b/>
          <w:bCs/>
        </w:rPr>
        <w:t>richtigen Kaufzeitpunkt achte</w:t>
      </w:r>
      <w:r>
        <w:rPr>
          <w:b/>
          <w:bCs/>
        </w:rPr>
        <w:t xml:space="preserve">t, kann </w:t>
      </w:r>
      <w:r w:rsidRPr="005F3B6B">
        <w:rPr>
          <w:b/>
          <w:bCs/>
        </w:rPr>
        <w:t>nach einem Jahr bis zu 39 Prozent sparen.</w:t>
      </w:r>
    </w:p>
    <w:p w14:paraId="5E720EB1" w14:textId="78795045" w:rsidR="00DF4A57" w:rsidRDefault="00BD6C8E" w:rsidP="00DF4A57">
      <w:pPr>
        <w:pStyle w:val="Listenabsatz"/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Hohe </w:t>
      </w:r>
      <w:r w:rsidR="001673CE">
        <w:rPr>
          <w:b/>
          <w:bCs/>
        </w:rPr>
        <w:t>N</w:t>
      </w:r>
      <w:r>
        <w:rPr>
          <w:b/>
          <w:bCs/>
        </w:rPr>
        <w:t>achfrage nach OLED macht LG zur meistgesuchten Marke am Fernseh</w:t>
      </w:r>
      <w:r w:rsidR="005025E0">
        <w:rPr>
          <w:b/>
          <w:bCs/>
        </w:rPr>
        <w:t>e</w:t>
      </w:r>
      <w:r>
        <w:rPr>
          <w:b/>
          <w:bCs/>
        </w:rPr>
        <w:t xml:space="preserve">rmarkt. </w:t>
      </w:r>
    </w:p>
    <w:p w14:paraId="23515D67" w14:textId="77777777" w:rsidR="00DF4A57" w:rsidRDefault="00DF4A57" w:rsidP="00F138DB">
      <w:pPr>
        <w:spacing w:after="0" w:line="240" w:lineRule="auto"/>
      </w:pPr>
    </w:p>
    <w:p w14:paraId="1C2F2657" w14:textId="7798FE98" w:rsidR="00F138DB" w:rsidRDefault="00B45A40" w:rsidP="00F138DB">
      <w:pPr>
        <w:spacing w:after="0" w:line="240" w:lineRule="auto"/>
      </w:pPr>
      <w:r w:rsidRPr="005B4CD7">
        <w:t xml:space="preserve">Wien, am </w:t>
      </w:r>
      <w:r w:rsidR="00465025" w:rsidRPr="005B4CD7">
        <w:t>28</w:t>
      </w:r>
      <w:r w:rsidRPr="005B4CD7">
        <w:t xml:space="preserve">. Juni 2022: </w:t>
      </w:r>
      <w:r w:rsidR="00F138DB" w:rsidRPr="005B4CD7">
        <w:t>Am 6. Juli startet die Fußball-EM der Frauen</w:t>
      </w:r>
      <w:r w:rsidR="00874A1D" w:rsidRPr="005B4CD7">
        <w:t xml:space="preserve"> – für ma</w:t>
      </w:r>
      <w:r w:rsidR="00D17C71" w:rsidRPr="005B4CD7">
        <w:t>n</w:t>
      </w:r>
      <w:r w:rsidR="00874A1D" w:rsidRPr="005B4CD7">
        <w:t>che ein willkommener</w:t>
      </w:r>
      <w:r w:rsidR="00874A1D">
        <w:t xml:space="preserve"> Anlass</w:t>
      </w:r>
      <w:r w:rsidR="00CB5B5D">
        <w:t>,</w:t>
      </w:r>
      <w:r w:rsidR="00874A1D">
        <w:t xml:space="preserve"> </w:t>
      </w:r>
      <w:r w:rsidR="00A71FA5">
        <w:t xml:space="preserve">in neues Home Entertainment zu investieren. </w:t>
      </w:r>
      <w:r w:rsidR="005177C1">
        <w:t>Aufgrund der s</w:t>
      </w:r>
      <w:r w:rsidR="00AD4CE7">
        <w:t>teigende</w:t>
      </w:r>
      <w:r w:rsidR="005177C1">
        <w:t>n</w:t>
      </w:r>
      <w:r w:rsidR="00AD4CE7">
        <w:t xml:space="preserve"> Preise bei Fernsehern</w:t>
      </w:r>
      <w:r w:rsidR="004765F0">
        <w:t>,</w:t>
      </w:r>
      <w:r w:rsidR="0019168B">
        <w:t xml:space="preserve"> </w:t>
      </w:r>
      <w:r w:rsidR="005177C1">
        <w:t>lohnt es sich</w:t>
      </w:r>
      <w:r w:rsidR="00CB5B5D">
        <w:t>,</w:t>
      </w:r>
      <w:r w:rsidR="005177C1">
        <w:t xml:space="preserve"> die </w:t>
      </w:r>
      <w:r w:rsidR="0019168B">
        <w:t xml:space="preserve">Angebote </w:t>
      </w:r>
      <w:r w:rsidR="00D150E3">
        <w:t xml:space="preserve">der unzähligen Modelle </w:t>
      </w:r>
      <w:r w:rsidR="005177C1">
        <w:t xml:space="preserve">zu vergleichen bzw. den idealen Kaufzeitpunkt abzuwarten. </w:t>
      </w:r>
      <w:r w:rsidR="00CF739F">
        <w:t xml:space="preserve">Geizhals.at hat </w:t>
      </w:r>
      <w:r w:rsidR="00BC4A1E">
        <w:t xml:space="preserve">sich die </w:t>
      </w:r>
      <w:r w:rsidR="00D14296">
        <w:t xml:space="preserve">neuersten Entwicklungen </w:t>
      </w:r>
      <w:r w:rsidR="00FC7D1C">
        <w:t xml:space="preserve">in diesem Bereich </w:t>
      </w:r>
      <w:r w:rsidR="0037461D">
        <w:t>angesehen.</w:t>
      </w:r>
      <w:r w:rsidR="00AF1B9C">
        <w:t xml:space="preserve"> </w:t>
      </w:r>
    </w:p>
    <w:p w14:paraId="16687DCA" w14:textId="77777777" w:rsidR="00D62CE0" w:rsidRDefault="00D62CE0" w:rsidP="00311A88">
      <w:pPr>
        <w:spacing w:after="0" w:line="240" w:lineRule="auto"/>
        <w:rPr>
          <w:b/>
          <w:bCs/>
        </w:rPr>
      </w:pPr>
    </w:p>
    <w:p w14:paraId="619FA0B2" w14:textId="7AB1CEE5" w:rsidR="00DE603E" w:rsidRPr="00731367" w:rsidRDefault="00DE603E" w:rsidP="00DE603E">
      <w:pPr>
        <w:spacing w:after="0" w:line="240" w:lineRule="auto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>Fernseher seit 2018 um 16,27 Prozent teu</w:t>
      </w:r>
      <w:r w:rsidR="00682986">
        <w:rPr>
          <w:rFonts w:eastAsia="Times New Roman"/>
          <w:b/>
          <w:bCs/>
          <w:color w:val="000000" w:themeColor="text1"/>
        </w:rPr>
        <w:t>r</w:t>
      </w:r>
      <w:r>
        <w:rPr>
          <w:rFonts w:eastAsia="Times New Roman"/>
          <w:b/>
          <w:bCs/>
          <w:color w:val="000000" w:themeColor="text1"/>
        </w:rPr>
        <w:t>er</w:t>
      </w:r>
    </w:p>
    <w:p w14:paraId="365379B9" w14:textId="506D59E8" w:rsidR="00322287" w:rsidRPr="008E6413" w:rsidRDefault="008E6413" w:rsidP="00DE603E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color w:val="000000" w:themeColor="text1"/>
        </w:rPr>
        <w:t>„</w:t>
      </w:r>
      <w:r w:rsidR="00804C1E">
        <w:rPr>
          <w:rFonts w:eastAsia="Times New Roman" w:cstheme="minorHAnsi"/>
          <w:color w:val="000000" w:themeColor="text1"/>
        </w:rPr>
        <w:t>Q</w:t>
      </w:r>
      <w:r w:rsidR="00DE603E" w:rsidRPr="00746967">
        <w:rPr>
          <w:rFonts w:eastAsia="Times New Roman" w:cstheme="minorHAnsi"/>
          <w:color w:val="000000" w:themeColor="text1"/>
        </w:rPr>
        <w:t xml:space="preserve">uer über alle verfügbaren Fernseher </w:t>
      </w:r>
      <w:r w:rsidR="00DE603E">
        <w:rPr>
          <w:rFonts w:eastAsia="Times New Roman" w:cstheme="minorHAnsi"/>
          <w:color w:val="000000" w:themeColor="text1"/>
        </w:rPr>
        <w:t xml:space="preserve">hinweg </w:t>
      </w:r>
      <w:r w:rsidR="00804C1E">
        <w:rPr>
          <w:rFonts w:eastAsia="Times New Roman" w:cstheme="minorHAnsi"/>
          <w:color w:val="000000" w:themeColor="text1"/>
        </w:rPr>
        <w:t xml:space="preserve">sind die </w:t>
      </w:r>
      <w:r w:rsidR="00804C1E" w:rsidRPr="00746967">
        <w:rPr>
          <w:rFonts w:eastAsia="Times New Roman" w:cstheme="minorHAnsi"/>
          <w:color w:val="000000" w:themeColor="text1"/>
        </w:rPr>
        <w:t>Durchschnittspreise</w:t>
      </w:r>
      <w:r w:rsidR="0007530E">
        <w:rPr>
          <w:rFonts w:eastAsia="Times New Roman" w:cstheme="minorHAnsi"/>
          <w:color w:val="000000" w:themeColor="text1"/>
        </w:rPr>
        <w:t xml:space="preserve"> </w:t>
      </w:r>
      <w:r w:rsidR="00DE603E">
        <w:rPr>
          <w:rFonts w:eastAsia="Times New Roman" w:cstheme="minorHAnsi"/>
          <w:color w:val="000000" w:themeColor="text1"/>
        </w:rPr>
        <w:t xml:space="preserve">in den </w:t>
      </w:r>
      <w:r w:rsidR="00410B9B">
        <w:rPr>
          <w:rFonts w:eastAsia="Times New Roman" w:cstheme="minorHAnsi"/>
          <w:color w:val="000000" w:themeColor="text1"/>
        </w:rPr>
        <w:t>vergangenen</w:t>
      </w:r>
      <w:r w:rsidR="00DE603E" w:rsidRPr="00746967">
        <w:rPr>
          <w:rFonts w:eastAsia="Times New Roman" w:cstheme="minorHAnsi"/>
          <w:color w:val="000000" w:themeColor="text1"/>
        </w:rPr>
        <w:t xml:space="preserve"> fünf Jahre</w:t>
      </w:r>
      <w:r w:rsidR="0007530E">
        <w:rPr>
          <w:rFonts w:eastAsia="Times New Roman" w:cstheme="minorHAnsi"/>
          <w:color w:val="000000" w:themeColor="text1"/>
        </w:rPr>
        <w:t>n</w:t>
      </w:r>
      <w:r w:rsidR="00DE603E" w:rsidRPr="00746967">
        <w:rPr>
          <w:rFonts w:eastAsia="Times New Roman" w:cstheme="minorHAnsi"/>
          <w:color w:val="000000" w:themeColor="text1"/>
        </w:rPr>
        <w:t xml:space="preserve"> konstant gestiegen</w:t>
      </w:r>
      <w:r w:rsidR="009175FE">
        <w:rPr>
          <w:rFonts w:eastAsia="Times New Roman" w:cstheme="minorHAnsi"/>
          <w:color w:val="000000" w:themeColor="text1"/>
        </w:rPr>
        <w:t xml:space="preserve"> – </w:t>
      </w:r>
      <w:r w:rsidR="00DE603E" w:rsidRPr="00746967">
        <w:rPr>
          <w:rFonts w:eastAsia="Times New Roman" w:cstheme="minorHAnsi"/>
          <w:color w:val="000000" w:themeColor="text1"/>
        </w:rPr>
        <w:t xml:space="preserve">von </w:t>
      </w:r>
      <w:r w:rsidR="00DE603E" w:rsidRPr="003048C8">
        <w:rPr>
          <w:rFonts w:eastAsia="Times New Roman" w:cstheme="minorHAnsi"/>
          <w:color w:val="000000" w:themeColor="text1"/>
        </w:rPr>
        <w:t>1.110,54 auf mittlerweile 1.465,55</w:t>
      </w:r>
      <w:r w:rsidR="000B0294">
        <w:rPr>
          <w:rFonts w:eastAsia="Times New Roman" w:cstheme="minorHAnsi"/>
          <w:color w:val="000000" w:themeColor="text1"/>
        </w:rPr>
        <w:t xml:space="preserve"> Euro</w:t>
      </w:r>
      <w:r>
        <w:rPr>
          <w:rFonts w:eastAsia="Times New Roman" w:cstheme="minorHAnsi"/>
          <w:color w:val="000000" w:themeColor="text1"/>
        </w:rPr>
        <w:t>“, analysiert</w:t>
      </w:r>
      <w:r w:rsidRPr="008E6413">
        <w:rPr>
          <w:rFonts w:eastAsia="Times New Roman" w:cstheme="minorHAnsi"/>
          <w:color w:val="000000" w:themeColor="text1"/>
        </w:rPr>
        <w:t xml:space="preserve"> </w:t>
      </w:r>
      <w:r w:rsidRPr="00A709CC">
        <w:rPr>
          <w:rFonts w:eastAsia="Times New Roman" w:cstheme="minorHAnsi"/>
          <w:color w:val="000000" w:themeColor="text1"/>
        </w:rPr>
        <w:t>Mag. Markus Nigl, Vorstandsvorsitzender von Geizhals.at</w:t>
      </w:r>
      <w:r>
        <w:rPr>
          <w:rFonts w:eastAsia="Times New Roman" w:cstheme="minorHAnsi"/>
        </w:rPr>
        <w:t>.</w:t>
      </w:r>
      <w:r w:rsidR="00DE603E" w:rsidRPr="00746967">
        <w:rPr>
          <w:rFonts w:eastAsia="Times New Roman" w:cstheme="minorHAnsi"/>
          <w:color w:val="000000" w:themeColor="text1"/>
        </w:rPr>
        <w:t xml:space="preserve"> </w:t>
      </w:r>
      <w:r w:rsidR="00410B9B">
        <w:rPr>
          <w:rFonts w:eastAsia="Times New Roman" w:cstheme="minorHAnsi"/>
          <w:color w:val="000000" w:themeColor="text1"/>
        </w:rPr>
        <w:t>Allein d</w:t>
      </w:r>
      <w:r w:rsidR="00E8554B">
        <w:rPr>
          <w:rFonts w:eastAsia="Times New Roman" w:cstheme="minorHAnsi"/>
          <w:color w:val="000000" w:themeColor="text1"/>
        </w:rPr>
        <w:t xml:space="preserve">ie Differenz von 2020 auf 2021 betrug </w:t>
      </w:r>
      <w:r w:rsidR="0096743E" w:rsidRPr="003048C8">
        <w:rPr>
          <w:rFonts w:eastAsia="Times New Roman" w:cstheme="minorHAnsi"/>
          <w:color w:val="000000" w:themeColor="text1"/>
        </w:rPr>
        <w:t>154,19 Euro</w:t>
      </w:r>
      <w:r w:rsidR="0096743E">
        <w:rPr>
          <w:rFonts w:eastAsia="Times New Roman" w:cstheme="minorHAnsi"/>
          <w:color w:val="000000" w:themeColor="text1"/>
        </w:rPr>
        <w:t xml:space="preserve">. </w:t>
      </w:r>
      <w:r w:rsidR="00DE603E">
        <w:rPr>
          <w:rFonts w:eastAsia="Times New Roman" w:cstheme="minorHAnsi"/>
          <w:color w:val="000000" w:themeColor="text1"/>
        </w:rPr>
        <w:t>Im Gegensatz dazu sind Beamer</w:t>
      </w:r>
      <w:r w:rsidR="00E265A5">
        <w:rPr>
          <w:rFonts w:eastAsia="Times New Roman" w:cstheme="minorHAnsi"/>
          <w:color w:val="000000" w:themeColor="text1"/>
        </w:rPr>
        <w:t xml:space="preserve"> zwar weiterhin wesentlich teurer</w:t>
      </w:r>
      <w:r w:rsidR="00410B9B">
        <w:rPr>
          <w:rFonts w:eastAsia="Times New Roman" w:cstheme="minorHAnsi"/>
          <w:color w:val="000000" w:themeColor="text1"/>
        </w:rPr>
        <w:t>. A</w:t>
      </w:r>
      <w:r w:rsidR="00E265A5">
        <w:rPr>
          <w:rFonts w:eastAsia="Times New Roman" w:cstheme="minorHAnsi"/>
          <w:color w:val="000000" w:themeColor="text1"/>
        </w:rPr>
        <w:t xml:space="preserve">ber </w:t>
      </w:r>
      <w:r w:rsidR="00B544C6">
        <w:rPr>
          <w:rFonts w:eastAsia="Times New Roman" w:cstheme="minorHAnsi"/>
          <w:color w:val="000000" w:themeColor="text1"/>
        </w:rPr>
        <w:t xml:space="preserve">immerhin </w:t>
      </w:r>
      <w:r w:rsidR="00E63DAF">
        <w:rPr>
          <w:rFonts w:eastAsia="Times New Roman" w:cstheme="minorHAnsi"/>
          <w:color w:val="000000" w:themeColor="text1"/>
        </w:rPr>
        <w:t xml:space="preserve">ist der </w:t>
      </w:r>
      <w:r w:rsidR="00410B9B">
        <w:rPr>
          <w:rFonts w:eastAsia="Times New Roman" w:cstheme="minorHAnsi"/>
          <w:color w:val="000000" w:themeColor="text1"/>
        </w:rPr>
        <w:t xml:space="preserve">Preis seit </w:t>
      </w:r>
      <w:r w:rsidR="003048C8">
        <w:rPr>
          <w:rFonts w:eastAsia="Times New Roman" w:cstheme="minorHAnsi"/>
          <w:color w:val="000000" w:themeColor="text1"/>
        </w:rPr>
        <w:t xml:space="preserve">2018 </w:t>
      </w:r>
      <w:r w:rsidR="00D01C5F">
        <w:rPr>
          <w:rFonts w:eastAsia="Times New Roman" w:cstheme="minorHAnsi"/>
          <w:color w:val="000000" w:themeColor="text1"/>
        </w:rPr>
        <w:t xml:space="preserve">von </w:t>
      </w:r>
      <w:r w:rsidR="00D01C5F" w:rsidRPr="003048C8">
        <w:rPr>
          <w:rFonts w:eastAsia="Times New Roman" w:cstheme="minorHAnsi"/>
          <w:color w:val="000000" w:themeColor="text1"/>
        </w:rPr>
        <w:t>2.124,02</w:t>
      </w:r>
      <w:r w:rsidR="00F75C9D" w:rsidRPr="003048C8">
        <w:rPr>
          <w:rFonts w:eastAsia="Times New Roman" w:cstheme="minorHAnsi"/>
          <w:color w:val="000000" w:themeColor="text1"/>
        </w:rPr>
        <w:t xml:space="preserve"> </w:t>
      </w:r>
      <w:r w:rsidR="003048C8">
        <w:rPr>
          <w:rFonts w:eastAsia="Times New Roman" w:cstheme="minorHAnsi"/>
          <w:color w:val="000000" w:themeColor="text1"/>
        </w:rPr>
        <w:t xml:space="preserve">heuer </w:t>
      </w:r>
      <w:r w:rsidR="00D01C5F" w:rsidRPr="003048C8">
        <w:rPr>
          <w:rFonts w:eastAsia="Times New Roman" w:cstheme="minorHAnsi"/>
          <w:color w:val="000000" w:themeColor="text1"/>
        </w:rPr>
        <w:t>au</w:t>
      </w:r>
      <w:r w:rsidR="00B544C6" w:rsidRPr="003048C8">
        <w:rPr>
          <w:rFonts w:eastAsia="Times New Roman" w:cstheme="minorHAnsi"/>
          <w:color w:val="000000" w:themeColor="text1"/>
        </w:rPr>
        <w:t xml:space="preserve">f </w:t>
      </w:r>
      <w:r w:rsidR="00D01C5F" w:rsidRPr="003048C8">
        <w:rPr>
          <w:rFonts w:eastAsia="Times New Roman" w:cstheme="minorHAnsi"/>
          <w:color w:val="000000" w:themeColor="text1"/>
        </w:rPr>
        <w:t>durchschnittlich 1.935,70 Euro</w:t>
      </w:r>
      <w:r w:rsidR="00D01C5F">
        <w:rPr>
          <w:rFonts w:eastAsia="Times New Roman" w:cstheme="minorHAnsi"/>
          <w:color w:val="000000" w:themeColor="text1"/>
        </w:rPr>
        <w:t>gefallen.</w:t>
      </w:r>
    </w:p>
    <w:p w14:paraId="66C13FC4" w14:textId="77777777" w:rsidR="00804C1E" w:rsidRDefault="00804C1E" w:rsidP="00DE603E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14:paraId="65AE4650" w14:textId="235C6393" w:rsidR="00DE603E" w:rsidRPr="00374D77" w:rsidRDefault="00885CA4" w:rsidP="00DE603E">
      <w:pPr>
        <w:spacing w:after="0" w:line="240" w:lineRule="auto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B</w:t>
      </w:r>
      <w:r w:rsidR="00DE603E" w:rsidRPr="00374D77">
        <w:rPr>
          <w:rFonts w:eastAsia="Times New Roman" w:cstheme="minorHAnsi"/>
          <w:b/>
          <w:bCs/>
          <w:color w:val="000000" w:themeColor="text1"/>
        </w:rPr>
        <w:t xml:space="preserve">is zu 39 Prozent </w:t>
      </w:r>
      <w:r w:rsidR="00DE603E">
        <w:rPr>
          <w:rFonts w:eastAsia="Times New Roman" w:cstheme="minorHAnsi"/>
          <w:b/>
          <w:bCs/>
          <w:color w:val="000000" w:themeColor="text1"/>
        </w:rPr>
        <w:t xml:space="preserve">Preisersparnis </w:t>
      </w:r>
      <w:r>
        <w:rPr>
          <w:rFonts w:eastAsia="Times New Roman" w:cstheme="minorHAnsi"/>
          <w:b/>
          <w:bCs/>
          <w:color w:val="000000" w:themeColor="text1"/>
        </w:rPr>
        <w:t xml:space="preserve">nach einem </w:t>
      </w:r>
      <w:r w:rsidRPr="00374D77">
        <w:rPr>
          <w:rFonts w:eastAsia="Times New Roman" w:cstheme="minorHAnsi"/>
          <w:b/>
          <w:bCs/>
          <w:color w:val="000000" w:themeColor="text1"/>
        </w:rPr>
        <w:t>Jahr</w:t>
      </w:r>
    </w:p>
    <w:p w14:paraId="69CC6964" w14:textId="1447FBE7" w:rsidR="00DE603E" w:rsidRDefault="008E6413" w:rsidP="00DE603E">
      <w:pPr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„</w:t>
      </w:r>
      <w:r w:rsidR="00DE603E" w:rsidRPr="00EC7087">
        <w:rPr>
          <w:rFonts w:eastAsia="Times New Roman" w:cstheme="minorHAnsi"/>
          <w:color w:val="000000" w:themeColor="text1"/>
        </w:rPr>
        <w:t>Wer mit de</w:t>
      </w:r>
      <w:r w:rsidR="00DE603E">
        <w:rPr>
          <w:rFonts w:eastAsia="Times New Roman" w:cstheme="minorHAnsi"/>
          <w:color w:val="000000" w:themeColor="text1"/>
        </w:rPr>
        <w:t>r Anschaffung eines</w:t>
      </w:r>
      <w:r w:rsidR="00DE603E" w:rsidRPr="007F0AD3">
        <w:rPr>
          <w:rFonts w:eastAsia="Times New Roman" w:cstheme="minorHAnsi"/>
          <w:color w:val="000000" w:themeColor="text1"/>
        </w:rPr>
        <w:t xml:space="preserve"> </w:t>
      </w:r>
      <w:r w:rsidR="00DE603E" w:rsidRPr="00EC7087">
        <w:rPr>
          <w:rFonts w:eastAsia="Times New Roman" w:cstheme="minorHAnsi"/>
          <w:color w:val="000000" w:themeColor="text1"/>
        </w:rPr>
        <w:t>neuen Fernseher</w:t>
      </w:r>
      <w:r w:rsidR="00DE603E">
        <w:rPr>
          <w:rFonts w:eastAsia="Times New Roman" w:cstheme="minorHAnsi"/>
          <w:color w:val="000000" w:themeColor="text1"/>
        </w:rPr>
        <w:t xml:space="preserve">s liebäugelt, sollte nicht unbedingt zum Verkaufsstart zuschlagen. Nach einem Jahr sind nämlich Einsparungen von rund einem Drittel, bis zu 39 </w:t>
      </w:r>
      <w:r w:rsidR="001C5E97">
        <w:rPr>
          <w:rFonts w:eastAsia="Times New Roman" w:cstheme="minorHAnsi"/>
          <w:color w:val="000000" w:themeColor="text1"/>
        </w:rPr>
        <w:t>Prozent</w:t>
      </w:r>
      <w:r w:rsidR="00DE603E">
        <w:rPr>
          <w:rFonts w:eastAsia="Times New Roman" w:cstheme="minorHAnsi"/>
          <w:color w:val="000000" w:themeColor="text1"/>
        </w:rPr>
        <w:t>, möglich</w:t>
      </w:r>
      <w:r w:rsidR="00EE6B70">
        <w:rPr>
          <w:rFonts w:eastAsia="Times New Roman" w:cstheme="minorHAnsi"/>
          <w:color w:val="000000" w:themeColor="text1"/>
        </w:rPr>
        <w:t>“, so Nigl.</w:t>
      </w:r>
    </w:p>
    <w:p w14:paraId="61F4049B" w14:textId="6F6863EB" w:rsidR="00DE603E" w:rsidRPr="00870E8B" w:rsidRDefault="00DE603E" w:rsidP="00DE603E">
      <w:pPr>
        <w:spacing w:after="0" w:line="240" w:lineRule="auto"/>
        <w:rPr>
          <w:rFonts w:eastAsia="Times New Roman" w:cstheme="minorHAnsi"/>
          <w:color w:val="000000" w:themeColor="text1"/>
        </w:rPr>
      </w:pPr>
    </w:p>
    <w:tbl>
      <w:tblPr>
        <w:tblStyle w:val="Tabellenraster"/>
        <w:tblpPr w:leftFromText="141" w:rightFromText="141" w:vertAnchor="text" w:tblpY="1"/>
        <w:tblOverlap w:val="never"/>
        <w:tblW w:w="8702" w:type="dxa"/>
        <w:tblLook w:val="04A0" w:firstRow="1" w:lastRow="0" w:firstColumn="1" w:lastColumn="0" w:noHBand="0" w:noVBand="1"/>
      </w:tblPr>
      <w:tblGrid>
        <w:gridCol w:w="1850"/>
        <w:gridCol w:w="1703"/>
        <w:gridCol w:w="1880"/>
        <w:gridCol w:w="1634"/>
        <w:gridCol w:w="1635"/>
      </w:tblGrid>
      <w:tr w:rsidR="00DE603E" w:rsidRPr="00870E8B" w14:paraId="4E4712E8" w14:textId="77777777" w:rsidTr="004B3C4B">
        <w:tc>
          <w:tcPr>
            <w:tcW w:w="1850" w:type="dxa"/>
            <w:shd w:val="clear" w:color="auto" w:fill="auto"/>
          </w:tcPr>
          <w:p w14:paraId="6961A1FF" w14:textId="77777777" w:rsidR="00DE603E" w:rsidRPr="003048C8" w:rsidRDefault="00DE603E" w:rsidP="004B3C4B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61909EDB" w14:textId="77777777" w:rsidR="00DE603E" w:rsidRPr="003048C8" w:rsidRDefault="00DE603E" w:rsidP="004B3C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3048C8">
              <w:rPr>
                <w:rFonts w:eastAsia="Times New Roman" w:cstheme="minorHAnsi"/>
                <w:color w:val="000000" w:themeColor="text1"/>
              </w:rPr>
              <w:t>LG TV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42B34FE" w14:textId="77777777" w:rsidR="00DE603E" w:rsidRPr="003048C8" w:rsidRDefault="00DE603E" w:rsidP="004B3C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3048C8">
              <w:rPr>
                <w:rFonts w:eastAsia="Times New Roman" w:cstheme="minorHAnsi"/>
                <w:color w:val="000000" w:themeColor="text1"/>
              </w:rPr>
              <w:t>Samsung TV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89CAA4D" w14:textId="77777777" w:rsidR="00DE603E" w:rsidRPr="003048C8" w:rsidRDefault="00DE603E" w:rsidP="004B3C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3048C8">
              <w:rPr>
                <w:rFonts w:eastAsia="Times New Roman" w:cstheme="minorHAnsi"/>
                <w:color w:val="000000" w:themeColor="text1"/>
              </w:rPr>
              <w:t>Sony TV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7D3DFE05" w14:textId="77777777" w:rsidR="00DE603E" w:rsidRPr="003048C8" w:rsidRDefault="00DE603E" w:rsidP="004B3C4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3048C8">
              <w:rPr>
                <w:rFonts w:eastAsia="Times New Roman" w:cstheme="minorHAnsi"/>
                <w:color w:val="000000" w:themeColor="text1"/>
              </w:rPr>
              <w:t>Beamer</w:t>
            </w:r>
          </w:p>
        </w:tc>
      </w:tr>
      <w:tr w:rsidR="00DE603E" w:rsidRPr="00870E8B" w14:paraId="1C970C36" w14:textId="77777777" w:rsidTr="004B3C4B">
        <w:tc>
          <w:tcPr>
            <w:tcW w:w="1850" w:type="dxa"/>
            <w:shd w:val="clear" w:color="auto" w:fill="auto"/>
          </w:tcPr>
          <w:p w14:paraId="17AD2952" w14:textId="77777777" w:rsidR="00DE603E" w:rsidRPr="003048C8" w:rsidRDefault="00DE603E" w:rsidP="004B3C4B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3048C8">
              <w:rPr>
                <w:rFonts w:eastAsia="Times New Roman" w:cstheme="minorHAnsi"/>
                <w:color w:val="000000" w:themeColor="text1"/>
              </w:rPr>
              <w:t>Nach 1 Monat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916FCDD" w14:textId="113E9EC7" w:rsidR="00DE603E" w:rsidRPr="003048C8" w:rsidRDefault="00DE603E" w:rsidP="004B3C4B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3048C8">
              <w:rPr>
                <w:rFonts w:eastAsia="Times New Roman" w:cstheme="minorHAnsi"/>
                <w:color w:val="000000" w:themeColor="text1"/>
              </w:rPr>
              <w:t>4 %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31EF8E77" w14:textId="16AD2602" w:rsidR="00DE603E" w:rsidRPr="003048C8" w:rsidRDefault="00DE603E" w:rsidP="004B3C4B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3048C8">
              <w:rPr>
                <w:rFonts w:eastAsia="Times New Roman" w:cstheme="minorHAnsi"/>
                <w:color w:val="000000" w:themeColor="text1"/>
              </w:rPr>
              <w:t>12 %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E393F73" w14:textId="0DFAC372" w:rsidR="00DE603E" w:rsidRPr="003048C8" w:rsidRDefault="00DE603E" w:rsidP="004B3C4B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3048C8">
              <w:rPr>
                <w:rFonts w:eastAsia="Times New Roman" w:cstheme="minorHAnsi"/>
                <w:color w:val="000000" w:themeColor="text1"/>
              </w:rPr>
              <w:t>7 %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0543FEEA" w14:textId="23E94644" w:rsidR="00DE603E" w:rsidRPr="003048C8" w:rsidRDefault="00DE603E" w:rsidP="004B3C4B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3048C8">
              <w:rPr>
                <w:rFonts w:eastAsia="Times New Roman" w:cstheme="minorHAnsi"/>
                <w:color w:val="000000" w:themeColor="text1"/>
              </w:rPr>
              <w:t>2 %</w:t>
            </w:r>
          </w:p>
        </w:tc>
      </w:tr>
      <w:tr w:rsidR="00DE603E" w:rsidRPr="00870E8B" w14:paraId="6EA77BCC" w14:textId="77777777" w:rsidTr="004B3C4B">
        <w:tc>
          <w:tcPr>
            <w:tcW w:w="1850" w:type="dxa"/>
            <w:shd w:val="clear" w:color="auto" w:fill="auto"/>
          </w:tcPr>
          <w:p w14:paraId="69BC25BE" w14:textId="77777777" w:rsidR="00DE603E" w:rsidRPr="003048C8" w:rsidRDefault="00DE603E" w:rsidP="004B3C4B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3048C8">
              <w:rPr>
                <w:rFonts w:eastAsia="Times New Roman" w:cstheme="minorHAnsi"/>
                <w:color w:val="000000" w:themeColor="text1"/>
              </w:rPr>
              <w:t>Nach 3 Monate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200D7B7" w14:textId="788863FF" w:rsidR="00DE603E" w:rsidRPr="003048C8" w:rsidRDefault="00DE603E" w:rsidP="004B3C4B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3048C8">
              <w:rPr>
                <w:rFonts w:eastAsia="Times New Roman" w:cstheme="minorHAnsi"/>
                <w:color w:val="000000" w:themeColor="text1"/>
              </w:rPr>
              <w:t>11 %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56084B0" w14:textId="099B3161" w:rsidR="00DE603E" w:rsidRPr="003048C8" w:rsidRDefault="00DE603E" w:rsidP="004B3C4B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3048C8">
              <w:rPr>
                <w:rFonts w:eastAsia="Times New Roman" w:cstheme="minorHAnsi"/>
                <w:color w:val="000000" w:themeColor="text1"/>
              </w:rPr>
              <w:t>19 %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2CF1B80" w14:textId="62F1D92E" w:rsidR="00DE603E" w:rsidRPr="003048C8" w:rsidRDefault="00DE603E" w:rsidP="004B3C4B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3048C8">
              <w:rPr>
                <w:rFonts w:eastAsia="Times New Roman" w:cstheme="minorHAnsi"/>
                <w:color w:val="000000" w:themeColor="text1"/>
              </w:rPr>
              <w:t>17 %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E5E9C85" w14:textId="23D1992F" w:rsidR="00DE603E" w:rsidRPr="003048C8" w:rsidRDefault="00DE603E" w:rsidP="004B3C4B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3048C8">
              <w:rPr>
                <w:rFonts w:eastAsia="Times New Roman" w:cstheme="minorHAnsi"/>
                <w:color w:val="000000" w:themeColor="text1"/>
              </w:rPr>
              <w:t>4 %</w:t>
            </w:r>
          </w:p>
        </w:tc>
      </w:tr>
      <w:tr w:rsidR="00DE603E" w:rsidRPr="00870E8B" w14:paraId="24E0636D" w14:textId="77777777" w:rsidTr="004B3C4B">
        <w:tc>
          <w:tcPr>
            <w:tcW w:w="1850" w:type="dxa"/>
            <w:shd w:val="clear" w:color="auto" w:fill="auto"/>
          </w:tcPr>
          <w:p w14:paraId="2A453E04" w14:textId="77777777" w:rsidR="00DE603E" w:rsidRPr="003048C8" w:rsidRDefault="00DE603E" w:rsidP="004B3C4B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3048C8">
              <w:rPr>
                <w:rFonts w:eastAsia="Times New Roman" w:cstheme="minorHAnsi"/>
                <w:color w:val="000000" w:themeColor="text1"/>
              </w:rPr>
              <w:t>Nach 6 Monate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D68F180" w14:textId="249492AB" w:rsidR="00DE603E" w:rsidRPr="003048C8" w:rsidRDefault="00DE603E" w:rsidP="004B3C4B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3048C8">
              <w:rPr>
                <w:rFonts w:eastAsia="Times New Roman" w:cstheme="minorHAnsi"/>
                <w:color w:val="000000" w:themeColor="text1"/>
              </w:rPr>
              <w:t>28 %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7E05915D" w14:textId="31692B61" w:rsidR="00DE603E" w:rsidRPr="003048C8" w:rsidRDefault="00DE603E" w:rsidP="004B3C4B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3048C8">
              <w:rPr>
                <w:rFonts w:eastAsia="Times New Roman" w:cstheme="minorHAnsi"/>
                <w:color w:val="000000" w:themeColor="text1"/>
              </w:rPr>
              <w:t>21 %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6A6A322" w14:textId="7F9A7745" w:rsidR="00DE603E" w:rsidRPr="003048C8" w:rsidRDefault="00DE603E" w:rsidP="004B3C4B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3048C8">
              <w:rPr>
                <w:rFonts w:eastAsia="Times New Roman" w:cstheme="minorHAnsi"/>
                <w:color w:val="000000" w:themeColor="text1"/>
              </w:rPr>
              <w:t>25 %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1CD1D0E" w14:textId="0C032E50" w:rsidR="00DE603E" w:rsidRPr="003048C8" w:rsidRDefault="00DE603E" w:rsidP="004B3C4B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3048C8">
              <w:rPr>
                <w:rFonts w:eastAsia="Times New Roman" w:cstheme="minorHAnsi"/>
                <w:color w:val="000000" w:themeColor="text1"/>
              </w:rPr>
              <w:t>7 %</w:t>
            </w:r>
          </w:p>
        </w:tc>
      </w:tr>
      <w:tr w:rsidR="00DE603E" w:rsidRPr="00870E8B" w14:paraId="310F3FE2" w14:textId="77777777" w:rsidTr="004B3C4B">
        <w:tc>
          <w:tcPr>
            <w:tcW w:w="1850" w:type="dxa"/>
            <w:shd w:val="clear" w:color="auto" w:fill="auto"/>
          </w:tcPr>
          <w:p w14:paraId="4F530F0F" w14:textId="77777777" w:rsidR="00DE603E" w:rsidRPr="003048C8" w:rsidRDefault="00DE603E" w:rsidP="004B3C4B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3048C8">
              <w:rPr>
                <w:rFonts w:eastAsia="Times New Roman" w:cstheme="minorHAnsi"/>
                <w:color w:val="000000" w:themeColor="text1"/>
              </w:rPr>
              <w:t>Nach 9 Monate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07590B6" w14:textId="1B8E4DEE" w:rsidR="00DE603E" w:rsidRPr="003048C8" w:rsidRDefault="00DE603E" w:rsidP="004B3C4B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3048C8">
              <w:rPr>
                <w:rFonts w:eastAsia="Times New Roman" w:cstheme="minorHAnsi"/>
                <w:color w:val="000000" w:themeColor="text1"/>
              </w:rPr>
              <w:t>30 %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793D5CEC" w14:textId="7306CD95" w:rsidR="00DE603E" w:rsidRPr="003048C8" w:rsidRDefault="00DE603E" w:rsidP="004B3C4B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3048C8">
              <w:rPr>
                <w:rFonts w:eastAsia="Times New Roman" w:cstheme="minorHAnsi"/>
                <w:color w:val="000000" w:themeColor="text1"/>
              </w:rPr>
              <w:t>31 %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222BC86" w14:textId="0D086076" w:rsidR="00DE603E" w:rsidRPr="003048C8" w:rsidRDefault="00DE603E" w:rsidP="004B3C4B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3048C8">
              <w:rPr>
                <w:rFonts w:eastAsia="Times New Roman" w:cstheme="minorHAnsi"/>
                <w:color w:val="000000" w:themeColor="text1"/>
              </w:rPr>
              <w:t>29 %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49A74502" w14:textId="4A87ABBD" w:rsidR="00DE603E" w:rsidRPr="003048C8" w:rsidRDefault="00DE603E" w:rsidP="004B3C4B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3048C8">
              <w:rPr>
                <w:rFonts w:eastAsia="Times New Roman" w:cstheme="minorHAnsi"/>
                <w:color w:val="000000" w:themeColor="text1"/>
              </w:rPr>
              <w:t>21 %</w:t>
            </w:r>
          </w:p>
        </w:tc>
      </w:tr>
      <w:tr w:rsidR="00DE603E" w:rsidRPr="00870E8B" w14:paraId="1BC996A1" w14:textId="77777777" w:rsidTr="004B3C4B">
        <w:tc>
          <w:tcPr>
            <w:tcW w:w="1850" w:type="dxa"/>
            <w:shd w:val="clear" w:color="auto" w:fill="auto"/>
          </w:tcPr>
          <w:p w14:paraId="311298FE" w14:textId="77777777" w:rsidR="00DE603E" w:rsidRPr="003048C8" w:rsidRDefault="00DE603E" w:rsidP="004B3C4B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3048C8">
              <w:rPr>
                <w:rFonts w:eastAsia="Times New Roman" w:cstheme="minorHAnsi"/>
                <w:color w:val="000000" w:themeColor="text1"/>
              </w:rPr>
              <w:t>Nach 12 Monate</w:t>
            </w:r>
          </w:p>
        </w:tc>
        <w:tc>
          <w:tcPr>
            <w:tcW w:w="1703" w:type="dxa"/>
            <w:shd w:val="clear" w:color="auto" w:fill="auto"/>
          </w:tcPr>
          <w:p w14:paraId="31842496" w14:textId="78A4C60D" w:rsidR="00DE603E" w:rsidRPr="003048C8" w:rsidRDefault="00DE603E" w:rsidP="00483D30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3048C8">
              <w:rPr>
                <w:rFonts w:eastAsia="Times New Roman" w:cstheme="minorHAnsi"/>
                <w:color w:val="000000" w:themeColor="text1"/>
              </w:rPr>
              <w:t>39 %</w:t>
            </w:r>
          </w:p>
        </w:tc>
        <w:tc>
          <w:tcPr>
            <w:tcW w:w="1880" w:type="dxa"/>
            <w:shd w:val="clear" w:color="auto" w:fill="auto"/>
          </w:tcPr>
          <w:p w14:paraId="357C5FF1" w14:textId="0729C824" w:rsidR="00DE603E" w:rsidRPr="003048C8" w:rsidRDefault="00DE603E" w:rsidP="00483D30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3048C8">
              <w:rPr>
                <w:rFonts w:eastAsia="Times New Roman" w:cstheme="minorHAnsi"/>
                <w:color w:val="000000" w:themeColor="text1"/>
              </w:rPr>
              <w:t>33 %</w:t>
            </w:r>
          </w:p>
        </w:tc>
        <w:tc>
          <w:tcPr>
            <w:tcW w:w="1634" w:type="dxa"/>
            <w:shd w:val="clear" w:color="auto" w:fill="auto"/>
          </w:tcPr>
          <w:p w14:paraId="7F796508" w14:textId="18EF0658" w:rsidR="00DE603E" w:rsidRPr="003048C8" w:rsidRDefault="00DE603E" w:rsidP="00483D30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3048C8">
              <w:rPr>
                <w:rFonts w:eastAsia="Times New Roman" w:cstheme="minorHAnsi"/>
                <w:color w:val="000000" w:themeColor="text1"/>
              </w:rPr>
              <w:t>32 %</w:t>
            </w:r>
          </w:p>
        </w:tc>
        <w:tc>
          <w:tcPr>
            <w:tcW w:w="1635" w:type="dxa"/>
            <w:shd w:val="clear" w:color="auto" w:fill="auto"/>
          </w:tcPr>
          <w:p w14:paraId="6F25E4DB" w14:textId="73528242" w:rsidR="00DE603E" w:rsidRPr="003048C8" w:rsidRDefault="00DE603E" w:rsidP="00483D30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3048C8">
              <w:rPr>
                <w:rFonts w:eastAsia="Times New Roman" w:cstheme="minorHAnsi"/>
                <w:color w:val="000000" w:themeColor="text1"/>
              </w:rPr>
              <w:t>24 %</w:t>
            </w:r>
          </w:p>
        </w:tc>
      </w:tr>
    </w:tbl>
    <w:p w14:paraId="71584087" w14:textId="77777777" w:rsidR="00660BA7" w:rsidRDefault="00660BA7" w:rsidP="00CA5EF9">
      <w:pPr>
        <w:spacing w:after="0" w:line="240" w:lineRule="auto"/>
        <w:rPr>
          <w:rFonts w:eastAsia="Times New Roman" w:cstheme="minorHAnsi"/>
          <w:b/>
          <w:bCs/>
          <w:color w:val="000000" w:themeColor="text1"/>
        </w:rPr>
      </w:pPr>
    </w:p>
    <w:p w14:paraId="4F2925B6" w14:textId="3843EE3D" w:rsidR="00FF0D74" w:rsidRPr="00FF0D74" w:rsidRDefault="00FF0D74" w:rsidP="00CA5EF9">
      <w:pPr>
        <w:spacing w:after="0" w:line="240" w:lineRule="auto"/>
        <w:rPr>
          <w:rFonts w:eastAsia="Times New Roman" w:cstheme="minorHAnsi"/>
          <w:b/>
          <w:bCs/>
          <w:color w:val="000000" w:themeColor="text1"/>
        </w:rPr>
      </w:pPr>
      <w:r w:rsidRPr="00FF0D74">
        <w:rPr>
          <w:rFonts w:eastAsia="Times New Roman" w:cstheme="minorHAnsi"/>
          <w:b/>
          <w:bCs/>
          <w:color w:val="000000" w:themeColor="text1"/>
        </w:rPr>
        <w:t>LG und Samsung dominieren den Fernsehmarkt</w:t>
      </w:r>
    </w:p>
    <w:p w14:paraId="6EB1245E" w14:textId="7AC1A5E0" w:rsidR="0029778A" w:rsidRDefault="00466D9F" w:rsidP="007E3F3C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466D9F">
        <w:rPr>
          <w:rFonts w:eastAsia="Times New Roman" w:cstheme="minorHAnsi"/>
          <w:color w:val="000000" w:themeColor="text1"/>
        </w:rPr>
        <w:t>Samsung ist nicht nur bei Smartphones stark, sondern auch am Fernsehmarkt</w:t>
      </w:r>
      <w:r>
        <w:rPr>
          <w:rFonts w:eastAsia="Times New Roman" w:cstheme="minorHAnsi"/>
          <w:color w:val="000000" w:themeColor="text1"/>
        </w:rPr>
        <w:t xml:space="preserve">. So </w:t>
      </w:r>
      <w:r w:rsidR="00660BA7">
        <w:rPr>
          <w:rFonts w:eastAsia="Times New Roman" w:cstheme="minorHAnsi"/>
          <w:color w:val="000000" w:themeColor="text1"/>
        </w:rPr>
        <w:t>dominieren z</w:t>
      </w:r>
      <w:r w:rsidR="007A6EDA" w:rsidRPr="00F37CF6">
        <w:rPr>
          <w:rFonts w:eastAsia="Times New Roman" w:cstheme="minorHAnsi"/>
          <w:color w:val="000000" w:themeColor="text1"/>
        </w:rPr>
        <w:t xml:space="preserve">wei Hersteller </w:t>
      </w:r>
      <w:r w:rsidR="00004EE6">
        <w:rPr>
          <w:rFonts w:eastAsia="Times New Roman" w:cstheme="minorHAnsi"/>
          <w:color w:val="000000" w:themeColor="text1"/>
        </w:rPr>
        <w:t>diesen Bereich</w:t>
      </w:r>
      <w:r w:rsidR="007A6EDA" w:rsidRPr="00F37CF6">
        <w:rPr>
          <w:rFonts w:eastAsia="Times New Roman" w:cstheme="minorHAnsi"/>
          <w:color w:val="000000" w:themeColor="text1"/>
        </w:rPr>
        <w:t xml:space="preserve">: LG mit </w:t>
      </w:r>
      <w:r w:rsidR="007A6EDA" w:rsidRPr="003048C8">
        <w:rPr>
          <w:rFonts w:eastAsia="Times New Roman" w:cstheme="minorHAnsi"/>
          <w:color w:val="000000" w:themeColor="text1"/>
        </w:rPr>
        <w:t>35,07 und Samsung mit 25,60</w:t>
      </w:r>
      <w:r w:rsidR="007A6EDA" w:rsidRPr="00F37CF6">
        <w:rPr>
          <w:rFonts w:eastAsia="Times New Roman" w:cstheme="minorHAnsi"/>
          <w:color w:val="000000" w:themeColor="text1"/>
        </w:rPr>
        <w:t xml:space="preserve"> Prozent</w:t>
      </w:r>
      <w:r w:rsidR="00760393" w:rsidRPr="00F37CF6">
        <w:rPr>
          <w:rFonts w:eastAsia="Times New Roman" w:cstheme="minorHAnsi"/>
          <w:color w:val="000000" w:themeColor="text1"/>
        </w:rPr>
        <w:t>.</w:t>
      </w:r>
      <w:r w:rsidR="00204FA0" w:rsidRPr="00F37CF6">
        <w:rPr>
          <w:rFonts w:eastAsia="Times New Roman" w:cstheme="minorHAnsi"/>
          <w:color w:val="000000" w:themeColor="text1"/>
        </w:rPr>
        <w:t xml:space="preserve"> </w:t>
      </w:r>
      <w:r w:rsidR="00EF1F19" w:rsidRPr="00F37CF6">
        <w:rPr>
          <w:rFonts w:eastAsia="Times New Roman" w:cstheme="minorHAnsi"/>
          <w:color w:val="000000" w:themeColor="text1"/>
        </w:rPr>
        <w:t xml:space="preserve">Dabei sind allein auf Geizhals.at </w:t>
      </w:r>
      <w:r w:rsidR="00EF1F19" w:rsidRPr="003048C8">
        <w:rPr>
          <w:rFonts w:eastAsia="Times New Roman" w:cstheme="minorHAnsi"/>
          <w:color w:val="000000" w:themeColor="text1"/>
        </w:rPr>
        <w:t xml:space="preserve">57 </w:t>
      </w:r>
      <w:r w:rsidR="005413A5" w:rsidRPr="003048C8">
        <w:rPr>
          <w:rFonts w:eastAsia="Times New Roman" w:cstheme="minorHAnsi"/>
          <w:color w:val="000000" w:themeColor="text1"/>
        </w:rPr>
        <w:t>TV-</w:t>
      </w:r>
      <w:r w:rsidR="00EF1F19" w:rsidRPr="003048C8">
        <w:rPr>
          <w:rFonts w:eastAsia="Times New Roman" w:cstheme="minorHAnsi"/>
          <w:color w:val="000000" w:themeColor="text1"/>
        </w:rPr>
        <w:t>Hersteller</w:t>
      </w:r>
      <w:r w:rsidR="00EF1F19" w:rsidRPr="00F37CF6">
        <w:rPr>
          <w:rFonts w:eastAsia="Times New Roman" w:cstheme="minorHAnsi"/>
          <w:color w:val="000000" w:themeColor="text1"/>
        </w:rPr>
        <w:t xml:space="preserve"> gelistet. Das sind </w:t>
      </w:r>
      <w:r w:rsidR="00F37CF6" w:rsidRPr="00F37CF6">
        <w:rPr>
          <w:rFonts w:eastAsia="Times New Roman" w:cstheme="minorHAnsi"/>
          <w:color w:val="000000" w:themeColor="text1"/>
        </w:rPr>
        <w:t xml:space="preserve">mehr als doppelt so viele als vor zehn </w:t>
      </w:r>
      <w:r w:rsidR="00F37CF6" w:rsidRPr="00F3706E">
        <w:rPr>
          <w:rFonts w:eastAsia="Times New Roman" w:cstheme="minorHAnsi"/>
          <w:color w:val="000000" w:themeColor="text1"/>
        </w:rPr>
        <w:t xml:space="preserve">Jahren. </w:t>
      </w:r>
      <w:r w:rsidR="00FD7002">
        <w:rPr>
          <w:rFonts w:eastAsia="Times New Roman" w:cstheme="minorHAnsi"/>
          <w:color w:val="000000" w:themeColor="text1"/>
        </w:rPr>
        <w:t>Während sie g</w:t>
      </w:r>
      <w:r w:rsidR="00A84224" w:rsidRPr="00F3706E">
        <w:rPr>
          <w:rFonts w:eastAsia="Times New Roman" w:cstheme="minorHAnsi"/>
          <w:color w:val="000000" w:themeColor="text1"/>
        </w:rPr>
        <w:t xml:space="preserve">emeinsam eine Auswahl aus </w:t>
      </w:r>
      <w:r w:rsidR="00A84224" w:rsidRPr="003048C8">
        <w:rPr>
          <w:rFonts w:eastAsia="Times New Roman" w:cstheme="minorHAnsi"/>
          <w:color w:val="000000" w:themeColor="text1"/>
        </w:rPr>
        <w:t>2.386 Modellen</w:t>
      </w:r>
      <w:r w:rsidR="00BD7192">
        <w:rPr>
          <w:rFonts w:eastAsia="Times New Roman" w:cstheme="minorHAnsi"/>
          <w:color w:val="000000" w:themeColor="text1"/>
        </w:rPr>
        <w:t xml:space="preserve"> (inklusive sämtlichen Varianten) </w:t>
      </w:r>
      <w:r w:rsidR="00FD7002">
        <w:rPr>
          <w:rFonts w:eastAsia="Times New Roman" w:cstheme="minorHAnsi"/>
          <w:color w:val="000000" w:themeColor="text1"/>
        </w:rPr>
        <w:t xml:space="preserve">bieten, </w:t>
      </w:r>
      <w:r w:rsidR="00866675">
        <w:rPr>
          <w:rFonts w:eastAsia="Times New Roman" w:cstheme="minorHAnsi"/>
          <w:color w:val="000000" w:themeColor="text1"/>
        </w:rPr>
        <w:t>gehen die meisten Suchanfragen auf Geräte von LG zurück</w:t>
      </w:r>
      <w:r w:rsidR="001E6F2B">
        <w:rPr>
          <w:rFonts w:eastAsia="Times New Roman" w:cstheme="minorHAnsi"/>
          <w:color w:val="000000" w:themeColor="text1"/>
        </w:rPr>
        <w:t xml:space="preserve">: 2021 waren der </w:t>
      </w:r>
      <w:hyperlink r:id="rId12" w:history="1">
        <w:r w:rsidR="001E6F2B" w:rsidRPr="00C870E7">
          <w:rPr>
            <w:rStyle w:val="Hyperlink"/>
            <w:rFonts w:eastAsia="Times New Roman" w:cstheme="minorHAnsi"/>
          </w:rPr>
          <w:t>LG OLED 65CX9LA</w:t>
        </w:r>
      </w:hyperlink>
      <w:r w:rsidR="00F15483">
        <w:rPr>
          <w:rFonts w:eastAsia="Times New Roman" w:cstheme="minorHAnsi"/>
          <w:color w:val="000000" w:themeColor="text1"/>
        </w:rPr>
        <w:t xml:space="preserve">, </w:t>
      </w:r>
      <w:r w:rsidR="001E6F2B">
        <w:rPr>
          <w:rFonts w:eastAsia="Times New Roman" w:cstheme="minorHAnsi"/>
          <w:color w:val="000000" w:themeColor="text1"/>
        </w:rPr>
        <w:t xml:space="preserve">der </w:t>
      </w:r>
      <w:hyperlink r:id="rId13" w:history="1">
        <w:r w:rsidR="001E6F2B" w:rsidRPr="001F7F09">
          <w:rPr>
            <w:rStyle w:val="Hyperlink"/>
            <w:rFonts w:eastAsia="Times New Roman" w:cstheme="minorHAnsi"/>
          </w:rPr>
          <w:t>LG OLED 55CX9LA</w:t>
        </w:r>
      </w:hyperlink>
      <w:r w:rsidR="001E6F2B" w:rsidRPr="001E6F2B">
        <w:rPr>
          <w:rFonts w:eastAsia="Times New Roman" w:cstheme="minorHAnsi"/>
          <w:color w:val="000000" w:themeColor="text1"/>
        </w:rPr>
        <w:t xml:space="preserve"> </w:t>
      </w:r>
      <w:r w:rsidR="001E6F2B">
        <w:rPr>
          <w:rFonts w:eastAsia="Times New Roman" w:cstheme="minorHAnsi"/>
          <w:color w:val="000000" w:themeColor="text1"/>
        </w:rPr>
        <w:t xml:space="preserve">und der </w:t>
      </w:r>
      <w:hyperlink r:id="rId14" w:history="1">
        <w:r w:rsidR="001E6F2B" w:rsidRPr="001F7F09">
          <w:rPr>
            <w:rStyle w:val="Hyperlink"/>
            <w:rFonts w:eastAsia="Times New Roman" w:cstheme="minorHAnsi"/>
          </w:rPr>
          <w:t>LG OLED 65G19LA</w:t>
        </w:r>
      </w:hyperlink>
      <w:r w:rsidR="00DD5C80">
        <w:rPr>
          <w:rFonts w:eastAsia="Times New Roman" w:cstheme="minorHAnsi"/>
          <w:color w:val="000000" w:themeColor="text1"/>
        </w:rPr>
        <w:t xml:space="preserve">, mit gemeinsam fast </w:t>
      </w:r>
      <w:r w:rsidR="00DD5C80" w:rsidRPr="003048C8">
        <w:rPr>
          <w:rFonts w:eastAsia="Times New Roman" w:cstheme="minorHAnsi"/>
          <w:color w:val="000000" w:themeColor="text1"/>
        </w:rPr>
        <w:t>30.000</w:t>
      </w:r>
      <w:r w:rsidR="00DD5C80">
        <w:rPr>
          <w:rFonts w:eastAsia="Times New Roman" w:cstheme="minorHAnsi"/>
          <w:color w:val="000000" w:themeColor="text1"/>
        </w:rPr>
        <w:t xml:space="preserve"> Suchanfragen, </w:t>
      </w:r>
      <w:r w:rsidR="00804648">
        <w:rPr>
          <w:rFonts w:eastAsia="Times New Roman" w:cstheme="minorHAnsi"/>
          <w:color w:val="000000" w:themeColor="text1"/>
        </w:rPr>
        <w:t xml:space="preserve">die meistgesuchten </w:t>
      </w:r>
      <w:r w:rsidR="00DD5C80">
        <w:rPr>
          <w:rFonts w:eastAsia="Times New Roman" w:cstheme="minorHAnsi"/>
          <w:color w:val="000000" w:themeColor="text1"/>
        </w:rPr>
        <w:t>Fernseher</w:t>
      </w:r>
      <w:r w:rsidR="00C91496">
        <w:rPr>
          <w:rFonts w:eastAsia="Times New Roman" w:cstheme="minorHAnsi"/>
          <w:color w:val="000000" w:themeColor="text1"/>
        </w:rPr>
        <w:t xml:space="preserve"> auf Geizhals.at</w:t>
      </w:r>
      <w:r w:rsidR="00DD5C80">
        <w:rPr>
          <w:rFonts w:eastAsia="Times New Roman" w:cstheme="minorHAnsi"/>
          <w:color w:val="000000" w:themeColor="text1"/>
        </w:rPr>
        <w:t xml:space="preserve">. </w:t>
      </w:r>
      <w:r w:rsidR="00E06167">
        <w:rPr>
          <w:rFonts w:eastAsia="Times New Roman" w:cstheme="minorHAnsi"/>
          <w:color w:val="000000" w:themeColor="text1"/>
        </w:rPr>
        <w:t>Auch 2022 liegt LG wieder klar an erster Stelle</w:t>
      </w:r>
      <w:r w:rsidR="00CA5EF9">
        <w:rPr>
          <w:rFonts w:eastAsia="Times New Roman" w:cstheme="minorHAnsi"/>
          <w:color w:val="000000" w:themeColor="text1"/>
        </w:rPr>
        <w:t xml:space="preserve">, allen </w:t>
      </w:r>
      <w:r w:rsidR="00CA5EF9" w:rsidRPr="00CA5EF9">
        <w:rPr>
          <w:rFonts w:eastAsia="Times New Roman" w:cstheme="minorHAnsi"/>
          <w:color w:val="000000" w:themeColor="text1"/>
        </w:rPr>
        <w:t xml:space="preserve">voran mit dem </w:t>
      </w:r>
      <w:hyperlink r:id="rId15" w:history="1">
        <w:r w:rsidR="00F70FBB" w:rsidRPr="000F0F9A">
          <w:rPr>
            <w:rStyle w:val="Hyperlink"/>
            <w:rFonts w:eastAsia="Times New Roman" w:cstheme="minorHAnsi"/>
          </w:rPr>
          <w:t>LG OLED 65C17LB</w:t>
        </w:r>
      </w:hyperlink>
      <w:r w:rsidR="00CA5EF9" w:rsidRPr="00CA5EF9">
        <w:rPr>
          <w:rFonts w:eastAsia="Times New Roman" w:cstheme="minorHAnsi"/>
          <w:color w:val="000000" w:themeColor="text1"/>
        </w:rPr>
        <w:t>.</w:t>
      </w:r>
      <w:r w:rsidR="007E3F3C" w:rsidRPr="007E3F3C">
        <w:rPr>
          <w:rFonts w:eastAsia="Times New Roman" w:cstheme="minorHAnsi"/>
          <w:color w:val="000000" w:themeColor="text1"/>
        </w:rPr>
        <w:t xml:space="preserve"> </w:t>
      </w:r>
    </w:p>
    <w:p w14:paraId="76EF4FB5" w14:textId="77777777" w:rsidR="00CA5EF9" w:rsidRDefault="00CA5EF9" w:rsidP="00CA5EF9">
      <w:pPr>
        <w:spacing w:after="0" w:line="240" w:lineRule="auto"/>
        <w:rPr>
          <w:rFonts w:eastAsia="Times New Roman" w:cstheme="minorHAnsi"/>
          <w:color w:val="4472C4" w:themeColor="accent1"/>
        </w:rPr>
      </w:pPr>
    </w:p>
    <w:p w14:paraId="7E00E156" w14:textId="77777777" w:rsidR="00E561F8" w:rsidRDefault="00E561F8" w:rsidP="00042A3C">
      <w:pPr>
        <w:spacing w:after="0" w:line="240" w:lineRule="auto"/>
        <w:rPr>
          <w:rFonts w:eastAsia="Times New Roman" w:cstheme="minorHAnsi"/>
          <w:b/>
          <w:bCs/>
        </w:rPr>
      </w:pPr>
    </w:p>
    <w:p w14:paraId="36A544D0" w14:textId="5A7CBA38" w:rsidR="00F902D1" w:rsidRPr="00E75B4D" w:rsidRDefault="00E75B4D" w:rsidP="00042A3C">
      <w:pPr>
        <w:spacing w:after="0" w:line="240" w:lineRule="auto"/>
        <w:rPr>
          <w:rFonts w:eastAsia="Times New Roman" w:cstheme="minorHAnsi"/>
          <w:b/>
          <w:bCs/>
        </w:rPr>
      </w:pPr>
      <w:r w:rsidRPr="00E75B4D">
        <w:rPr>
          <w:rFonts w:eastAsia="Times New Roman" w:cstheme="minorHAnsi"/>
          <w:b/>
          <w:bCs/>
        </w:rPr>
        <w:lastRenderedPageBreak/>
        <w:t>Mehr Dynamik bei Beamern</w:t>
      </w:r>
    </w:p>
    <w:p w14:paraId="69349A3A" w14:textId="1DE59B17" w:rsidR="00FD3E85" w:rsidRPr="00A21B12" w:rsidRDefault="00450AC5" w:rsidP="0001354A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89237B">
        <w:rPr>
          <w:rFonts w:eastAsia="Times New Roman" w:cstheme="minorHAnsi"/>
          <w:color w:val="000000" w:themeColor="text1"/>
        </w:rPr>
        <w:t>Der Beamer</w:t>
      </w:r>
      <w:r w:rsidR="00816F9A" w:rsidRPr="0089237B">
        <w:rPr>
          <w:rFonts w:eastAsia="Times New Roman" w:cstheme="minorHAnsi"/>
          <w:color w:val="000000" w:themeColor="text1"/>
        </w:rPr>
        <w:t>-M</w:t>
      </w:r>
      <w:r w:rsidRPr="0089237B">
        <w:rPr>
          <w:rFonts w:eastAsia="Times New Roman" w:cstheme="minorHAnsi"/>
          <w:color w:val="000000" w:themeColor="text1"/>
        </w:rPr>
        <w:t xml:space="preserve">arkt ist etwas dynamischer. </w:t>
      </w:r>
      <w:r w:rsidR="00DA2548" w:rsidRPr="0089237B">
        <w:rPr>
          <w:rFonts w:eastAsia="Times New Roman" w:cstheme="minorHAnsi"/>
          <w:color w:val="000000" w:themeColor="text1"/>
        </w:rPr>
        <w:t xml:space="preserve">Hier teilen sich </w:t>
      </w:r>
      <w:r w:rsidR="00816F9A" w:rsidRPr="0089237B">
        <w:rPr>
          <w:rFonts w:eastAsia="Times New Roman" w:cstheme="minorHAnsi"/>
          <w:color w:val="000000" w:themeColor="text1"/>
        </w:rPr>
        <w:t>sechs Hersteller das Feld</w:t>
      </w:r>
      <w:r w:rsidR="00E53D93" w:rsidRPr="0089237B">
        <w:rPr>
          <w:rFonts w:eastAsia="Times New Roman" w:cstheme="minorHAnsi"/>
          <w:color w:val="000000" w:themeColor="text1"/>
        </w:rPr>
        <w:t>, mit Epson an der Front, gefolgt von Acer, Optoma, Samsung, BenQ und LG.</w:t>
      </w:r>
      <w:r w:rsidR="00844949" w:rsidRPr="0089237B">
        <w:rPr>
          <w:rFonts w:eastAsia="Times New Roman" w:cstheme="minorHAnsi"/>
          <w:color w:val="000000" w:themeColor="text1"/>
        </w:rPr>
        <w:t xml:space="preserve"> </w:t>
      </w:r>
      <w:r w:rsidR="0027722F" w:rsidRPr="0089237B">
        <w:rPr>
          <w:rFonts w:eastAsia="Times New Roman" w:cstheme="minorHAnsi"/>
          <w:color w:val="000000" w:themeColor="text1"/>
        </w:rPr>
        <w:t xml:space="preserve">Die </w:t>
      </w:r>
      <w:r w:rsidR="00742411" w:rsidRPr="0089237B">
        <w:rPr>
          <w:rFonts w:eastAsia="Times New Roman" w:cstheme="minorHAnsi"/>
          <w:color w:val="000000" w:themeColor="text1"/>
        </w:rPr>
        <w:t>großen</w:t>
      </w:r>
      <w:r w:rsidR="0027722F" w:rsidRPr="0089237B">
        <w:rPr>
          <w:rFonts w:eastAsia="Times New Roman" w:cstheme="minorHAnsi"/>
          <w:color w:val="000000" w:themeColor="text1"/>
        </w:rPr>
        <w:t xml:space="preserve"> Pl</w:t>
      </w:r>
      <w:r w:rsidR="00742411" w:rsidRPr="0089237B">
        <w:rPr>
          <w:rFonts w:eastAsia="Times New Roman" w:cstheme="minorHAnsi"/>
          <w:color w:val="000000" w:themeColor="text1"/>
        </w:rPr>
        <w:t>a</w:t>
      </w:r>
      <w:r w:rsidR="0027722F" w:rsidRPr="0089237B">
        <w:rPr>
          <w:rFonts w:eastAsia="Times New Roman" w:cstheme="minorHAnsi"/>
          <w:color w:val="000000" w:themeColor="text1"/>
        </w:rPr>
        <w:t xml:space="preserve">yer am TV-Markt spielen auch </w:t>
      </w:r>
      <w:r w:rsidR="0089237B" w:rsidRPr="0089237B">
        <w:rPr>
          <w:rFonts w:eastAsia="Times New Roman" w:cstheme="minorHAnsi"/>
          <w:color w:val="000000" w:themeColor="text1"/>
        </w:rPr>
        <w:t xml:space="preserve">hier </w:t>
      </w:r>
      <w:r w:rsidR="006131D2">
        <w:rPr>
          <w:rFonts w:eastAsia="Times New Roman" w:cstheme="minorHAnsi"/>
          <w:color w:val="000000" w:themeColor="text1"/>
        </w:rPr>
        <w:t xml:space="preserve">eine </w:t>
      </w:r>
      <w:r w:rsidR="00AE0952">
        <w:rPr>
          <w:rFonts w:eastAsia="Times New Roman" w:cstheme="minorHAnsi"/>
          <w:color w:val="000000" w:themeColor="text1"/>
        </w:rPr>
        <w:t>wichtige Rolle</w:t>
      </w:r>
      <w:r w:rsidR="0027722F" w:rsidRPr="0089237B">
        <w:rPr>
          <w:rFonts w:eastAsia="Times New Roman" w:cstheme="minorHAnsi"/>
          <w:color w:val="000000" w:themeColor="text1"/>
        </w:rPr>
        <w:t xml:space="preserve">, allerdings etwas abgeschlagen </w:t>
      </w:r>
      <w:r w:rsidR="00742411" w:rsidRPr="0089237B">
        <w:rPr>
          <w:rFonts w:eastAsia="Times New Roman" w:cstheme="minorHAnsi"/>
          <w:color w:val="000000" w:themeColor="text1"/>
        </w:rPr>
        <w:t xml:space="preserve">auf den hinteren Rängen. </w:t>
      </w:r>
      <w:r w:rsidR="00675335">
        <w:rPr>
          <w:rFonts w:eastAsia="Times New Roman" w:cstheme="minorHAnsi"/>
          <w:color w:val="000000" w:themeColor="text1"/>
        </w:rPr>
        <w:t xml:space="preserve">In Summe </w:t>
      </w:r>
      <w:r w:rsidR="00780FD5">
        <w:rPr>
          <w:rFonts w:eastAsia="Times New Roman" w:cstheme="minorHAnsi"/>
          <w:color w:val="000000" w:themeColor="text1"/>
        </w:rPr>
        <w:t xml:space="preserve">können die KonsumentInnen </w:t>
      </w:r>
      <w:r w:rsidR="006447AF">
        <w:rPr>
          <w:rFonts w:eastAsia="Times New Roman" w:cstheme="minorHAnsi"/>
          <w:color w:val="000000" w:themeColor="text1"/>
        </w:rPr>
        <w:t xml:space="preserve">aktuell </w:t>
      </w:r>
      <w:r w:rsidR="00780FD5">
        <w:rPr>
          <w:rFonts w:eastAsia="Times New Roman" w:cstheme="minorHAnsi"/>
          <w:color w:val="000000" w:themeColor="text1"/>
        </w:rPr>
        <w:t xml:space="preserve">aus </w:t>
      </w:r>
      <w:r w:rsidR="00780FD5" w:rsidRPr="003048C8">
        <w:rPr>
          <w:rFonts w:eastAsia="Times New Roman" w:cstheme="minorHAnsi"/>
          <w:color w:val="000000" w:themeColor="text1"/>
        </w:rPr>
        <w:t xml:space="preserve">68 </w:t>
      </w:r>
      <w:r w:rsidR="00CD2F22" w:rsidRPr="003048C8">
        <w:rPr>
          <w:rFonts w:eastAsia="Times New Roman" w:cstheme="minorHAnsi"/>
          <w:color w:val="000000" w:themeColor="text1"/>
        </w:rPr>
        <w:t>Beamer-</w:t>
      </w:r>
      <w:r w:rsidR="00780FD5">
        <w:rPr>
          <w:rFonts w:eastAsia="Times New Roman" w:cstheme="minorHAnsi"/>
          <w:color w:val="000000" w:themeColor="text1"/>
        </w:rPr>
        <w:t>Herstellern wähl</w:t>
      </w:r>
      <w:r w:rsidR="00787673">
        <w:rPr>
          <w:rFonts w:eastAsia="Times New Roman" w:cstheme="minorHAnsi"/>
          <w:color w:val="000000" w:themeColor="text1"/>
        </w:rPr>
        <w:t xml:space="preserve">en. Damit hat sich das Angebot </w:t>
      </w:r>
      <w:r w:rsidR="009E5FD9">
        <w:rPr>
          <w:rFonts w:eastAsia="Times New Roman" w:cstheme="minorHAnsi"/>
          <w:color w:val="000000" w:themeColor="text1"/>
        </w:rPr>
        <w:t xml:space="preserve">seit </w:t>
      </w:r>
      <w:r w:rsidR="00787673">
        <w:rPr>
          <w:rFonts w:eastAsia="Times New Roman" w:cstheme="minorHAnsi"/>
          <w:color w:val="000000" w:themeColor="text1"/>
        </w:rPr>
        <w:t xml:space="preserve">2012 mehr als </w:t>
      </w:r>
      <w:r w:rsidR="00DE1A68">
        <w:rPr>
          <w:rFonts w:eastAsia="Times New Roman" w:cstheme="minorHAnsi"/>
          <w:color w:val="000000" w:themeColor="text1"/>
        </w:rPr>
        <w:t>verdreifacht</w:t>
      </w:r>
      <w:r w:rsidR="00722D31">
        <w:rPr>
          <w:rFonts w:eastAsia="Times New Roman" w:cstheme="minorHAnsi"/>
          <w:color w:val="000000" w:themeColor="text1"/>
        </w:rPr>
        <w:t xml:space="preserve">. </w:t>
      </w:r>
      <w:r w:rsidR="001B4CB0">
        <w:rPr>
          <w:rFonts w:eastAsia="Times New Roman" w:cstheme="minorHAnsi"/>
          <w:color w:val="000000" w:themeColor="text1"/>
        </w:rPr>
        <w:t>Das beliebteste Modell war 2021 der</w:t>
      </w:r>
      <w:r w:rsidR="001B4CB0" w:rsidRPr="001B4CB0">
        <w:rPr>
          <w:rFonts w:eastAsia="Times New Roman" w:cstheme="minorHAnsi"/>
          <w:color w:val="000000" w:themeColor="text1"/>
        </w:rPr>
        <w:t xml:space="preserve"> </w:t>
      </w:r>
      <w:hyperlink r:id="rId16" w:history="1">
        <w:r w:rsidR="001B4CB0" w:rsidRPr="00874A39">
          <w:rPr>
            <w:rStyle w:val="Hyperlink"/>
            <w:rFonts w:eastAsia="Times New Roman" w:cstheme="minorHAnsi"/>
          </w:rPr>
          <w:t>Epson EH-TW7000</w:t>
        </w:r>
      </w:hyperlink>
      <w:r w:rsidR="00874A39">
        <w:rPr>
          <w:rFonts w:eastAsia="Times New Roman" w:cstheme="minorHAnsi"/>
          <w:color w:val="000000" w:themeColor="text1"/>
        </w:rPr>
        <w:t xml:space="preserve">, gefolgt vom </w:t>
      </w:r>
      <w:hyperlink r:id="rId17" w:history="1">
        <w:r w:rsidR="001B4CB0" w:rsidRPr="00A17EEA">
          <w:rPr>
            <w:rStyle w:val="Hyperlink"/>
            <w:rFonts w:eastAsia="Times New Roman" w:cstheme="minorHAnsi"/>
          </w:rPr>
          <w:t>Xiaomi Mijia 4K</w:t>
        </w:r>
      </w:hyperlink>
      <w:r w:rsidR="001B4CB0" w:rsidRPr="001B4CB0">
        <w:rPr>
          <w:rFonts w:eastAsia="Times New Roman" w:cstheme="minorHAnsi"/>
          <w:color w:val="000000" w:themeColor="text1"/>
        </w:rPr>
        <w:t xml:space="preserve"> </w:t>
      </w:r>
      <w:r w:rsidR="00A17EEA">
        <w:rPr>
          <w:rFonts w:eastAsia="Times New Roman" w:cstheme="minorHAnsi"/>
          <w:color w:val="000000" w:themeColor="text1"/>
        </w:rPr>
        <w:t xml:space="preserve">und dem </w:t>
      </w:r>
      <w:hyperlink r:id="rId18" w:history="1">
        <w:r w:rsidR="001B4CB0" w:rsidRPr="0072537E">
          <w:rPr>
            <w:rStyle w:val="Hyperlink"/>
            <w:rFonts w:eastAsia="Times New Roman" w:cstheme="minorHAnsi"/>
          </w:rPr>
          <w:t>Samsung 4K Laser Projektor LSP7T</w:t>
        </w:r>
      </w:hyperlink>
      <w:r w:rsidR="0072537E">
        <w:rPr>
          <w:rFonts w:eastAsia="Times New Roman" w:cstheme="minorHAnsi"/>
          <w:color w:val="000000" w:themeColor="text1"/>
        </w:rPr>
        <w:t xml:space="preserve">. Heuer </w:t>
      </w:r>
      <w:r w:rsidR="006E2F98">
        <w:rPr>
          <w:rFonts w:eastAsia="Times New Roman" w:cstheme="minorHAnsi"/>
          <w:color w:val="000000" w:themeColor="text1"/>
        </w:rPr>
        <w:t xml:space="preserve">macht bislang der </w:t>
      </w:r>
      <w:hyperlink r:id="rId19" w:history="1">
        <w:r w:rsidR="006E2F98" w:rsidRPr="005D1E54">
          <w:rPr>
            <w:rStyle w:val="Hyperlink"/>
            <w:rFonts w:eastAsia="Times New Roman" w:cstheme="minorHAnsi"/>
          </w:rPr>
          <w:t>Samsung Freestyle LSP3</w:t>
        </w:r>
      </w:hyperlink>
      <w:r w:rsidR="005D1E54">
        <w:rPr>
          <w:rFonts w:eastAsia="Times New Roman" w:cstheme="minorHAnsi"/>
          <w:color w:val="000000" w:themeColor="text1"/>
        </w:rPr>
        <w:t xml:space="preserve"> </w:t>
      </w:r>
      <w:r w:rsidR="006E2F98">
        <w:rPr>
          <w:rFonts w:eastAsia="Times New Roman" w:cstheme="minorHAnsi"/>
          <w:color w:val="000000" w:themeColor="text1"/>
        </w:rPr>
        <w:t>das Rennen</w:t>
      </w:r>
      <w:r w:rsidR="000D211D">
        <w:rPr>
          <w:rFonts w:eastAsia="Times New Roman" w:cstheme="minorHAnsi"/>
          <w:color w:val="000000" w:themeColor="text1"/>
        </w:rPr>
        <w:t>.</w:t>
      </w:r>
      <w:r w:rsidR="005D1E54">
        <w:rPr>
          <w:rFonts w:eastAsia="Times New Roman" w:cstheme="minorHAnsi"/>
          <w:color w:val="000000" w:themeColor="text1"/>
        </w:rPr>
        <w:t xml:space="preserve"> </w:t>
      </w:r>
      <w:r w:rsidR="00E53D93" w:rsidRPr="0089237B">
        <w:rPr>
          <w:rFonts w:eastAsia="Times New Roman" w:cstheme="minorHAnsi"/>
          <w:color w:val="000000" w:themeColor="text1"/>
        </w:rPr>
        <w:br/>
      </w:r>
    </w:p>
    <w:p w14:paraId="119964DB" w14:textId="75F442B3" w:rsidR="00C47159" w:rsidRPr="00914548" w:rsidRDefault="00C47159" w:rsidP="0008221B">
      <w:pPr>
        <w:spacing w:after="0" w:line="240" w:lineRule="auto"/>
        <w:rPr>
          <w:rFonts w:eastAsia="Times New Roman" w:cstheme="minorHAnsi"/>
          <w:b/>
          <w:bCs/>
          <w:color w:val="000000" w:themeColor="text1"/>
        </w:rPr>
      </w:pPr>
      <w:r w:rsidRPr="00914548">
        <w:rPr>
          <w:rFonts w:eastAsia="Times New Roman" w:cstheme="minorHAnsi"/>
          <w:b/>
          <w:bCs/>
          <w:color w:val="000000" w:themeColor="text1"/>
        </w:rPr>
        <w:t>Worauf die KäuferInnen achten</w:t>
      </w:r>
    </w:p>
    <w:p w14:paraId="1641BC43" w14:textId="1C042B66" w:rsidR="00DD1387" w:rsidRPr="00914548" w:rsidRDefault="00181504" w:rsidP="00DD1387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205E09">
        <w:rPr>
          <w:rFonts w:eastAsia="Times New Roman" w:cstheme="minorHAnsi"/>
          <w:color w:val="000000" w:themeColor="text1"/>
        </w:rPr>
        <w:t xml:space="preserve">Bei Fernsehern </w:t>
      </w:r>
      <w:r w:rsidR="0023562D" w:rsidRPr="00205E09">
        <w:rPr>
          <w:rFonts w:eastAsia="Times New Roman" w:cstheme="minorHAnsi"/>
          <w:color w:val="000000" w:themeColor="text1"/>
        </w:rPr>
        <w:t>suchten</w:t>
      </w:r>
      <w:r w:rsidRPr="00205E09">
        <w:rPr>
          <w:rFonts w:eastAsia="Times New Roman" w:cstheme="minorHAnsi"/>
          <w:color w:val="000000" w:themeColor="text1"/>
        </w:rPr>
        <w:t xml:space="preserve"> die UserInnen</w:t>
      </w:r>
      <w:r w:rsidRPr="00914548">
        <w:rPr>
          <w:rFonts w:eastAsia="Times New Roman" w:cstheme="minorHAnsi"/>
          <w:color w:val="000000" w:themeColor="text1"/>
        </w:rPr>
        <w:t xml:space="preserve"> auf Geizhals.at</w:t>
      </w:r>
      <w:r w:rsidR="0019020E" w:rsidRPr="00914548">
        <w:rPr>
          <w:rFonts w:eastAsia="Times New Roman" w:cstheme="minorHAnsi"/>
          <w:color w:val="000000" w:themeColor="text1"/>
        </w:rPr>
        <w:t xml:space="preserve"> </w:t>
      </w:r>
      <w:r w:rsidR="006447AF">
        <w:rPr>
          <w:rFonts w:eastAsia="Times New Roman" w:cstheme="minorHAnsi"/>
          <w:color w:val="000000" w:themeColor="text1"/>
        </w:rPr>
        <w:t xml:space="preserve">zuletzt </w:t>
      </w:r>
      <w:r w:rsidRPr="00914548">
        <w:rPr>
          <w:rFonts w:eastAsia="Times New Roman" w:cstheme="minorHAnsi"/>
          <w:color w:val="000000" w:themeColor="text1"/>
        </w:rPr>
        <w:t>vor allem nach der Diagonale</w:t>
      </w:r>
      <w:r w:rsidR="005C1E02" w:rsidRPr="00914548">
        <w:rPr>
          <w:rFonts w:eastAsia="Times New Roman" w:cstheme="minorHAnsi"/>
          <w:color w:val="000000" w:themeColor="text1"/>
        </w:rPr>
        <w:t xml:space="preserve"> (</w:t>
      </w:r>
      <w:r w:rsidR="00A86DEF" w:rsidRPr="00914548">
        <w:rPr>
          <w:rFonts w:eastAsia="Times New Roman" w:cstheme="minorHAnsi"/>
          <w:color w:val="000000" w:themeColor="text1"/>
        </w:rPr>
        <w:t xml:space="preserve">vorwiegend zwischen </w:t>
      </w:r>
      <w:r w:rsidR="00A86DEF" w:rsidRPr="003048C8">
        <w:rPr>
          <w:rFonts w:eastAsia="Times New Roman" w:cstheme="minorHAnsi"/>
          <w:color w:val="000000" w:themeColor="text1"/>
        </w:rPr>
        <w:t>55 bis 75 Zoll)</w:t>
      </w:r>
      <w:r w:rsidRPr="00914548">
        <w:rPr>
          <w:rFonts w:eastAsia="Times New Roman" w:cstheme="minorHAnsi"/>
          <w:color w:val="000000" w:themeColor="text1"/>
        </w:rPr>
        <w:t>, dem Hersteller und dem Panel</w:t>
      </w:r>
      <w:r w:rsidR="00C515BC" w:rsidRPr="00914548">
        <w:rPr>
          <w:rFonts w:eastAsia="Times New Roman" w:cstheme="minorHAnsi"/>
          <w:color w:val="000000" w:themeColor="text1"/>
        </w:rPr>
        <w:t xml:space="preserve">, bei dem </w:t>
      </w:r>
      <w:r w:rsidR="00B26E75" w:rsidRPr="00914548">
        <w:rPr>
          <w:rFonts w:eastAsia="Times New Roman" w:cstheme="minorHAnsi"/>
          <w:color w:val="000000" w:themeColor="text1"/>
        </w:rPr>
        <w:t>die überwältigende Mehrheit Wert auf OLED</w:t>
      </w:r>
      <w:r w:rsidR="00C515BC" w:rsidRPr="00914548">
        <w:rPr>
          <w:rFonts w:eastAsia="Times New Roman" w:cstheme="minorHAnsi"/>
          <w:color w:val="000000" w:themeColor="text1"/>
        </w:rPr>
        <w:t xml:space="preserve"> legt. </w:t>
      </w:r>
      <w:r w:rsidR="006571F3" w:rsidRPr="00914548">
        <w:rPr>
          <w:rFonts w:eastAsia="Times New Roman" w:cstheme="minorHAnsi"/>
          <w:color w:val="000000" w:themeColor="text1"/>
        </w:rPr>
        <w:t>Curved und 3D spiel</w:t>
      </w:r>
      <w:r w:rsidR="006447AF">
        <w:rPr>
          <w:rFonts w:eastAsia="Times New Roman" w:cstheme="minorHAnsi"/>
          <w:color w:val="000000" w:themeColor="text1"/>
        </w:rPr>
        <w:t>t</w:t>
      </w:r>
      <w:r w:rsidR="006571F3" w:rsidRPr="00914548">
        <w:rPr>
          <w:rFonts w:eastAsia="Times New Roman" w:cstheme="minorHAnsi"/>
          <w:color w:val="000000" w:themeColor="text1"/>
        </w:rPr>
        <w:t>en hingegen kaum mehr eine Rolle.</w:t>
      </w:r>
      <w:r w:rsidR="005C3B0F" w:rsidRPr="00914548">
        <w:rPr>
          <w:rFonts w:eastAsia="Times New Roman" w:cstheme="minorHAnsi"/>
          <w:color w:val="000000" w:themeColor="text1"/>
        </w:rPr>
        <w:t xml:space="preserve"> </w:t>
      </w:r>
      <w:r w:rsidR="00E764FB">
        <w:rPr>
          <w:rFonts w:eastAsia="Times New Roman" w:cstheme="minorHAnsi"/>
          <w:color w:val="000000" w:themeColor="text1"/>
        </w:rPr>
        <w:t xml:space="preserve">Gleichzeitig </w:t>
      </w:r>
      <w:r w:rsidR="00205E09">
        <w:rPr>
          <w:rFonts w:eastAsia="Times New Roman" w:cstheme="minorHAnsi"/>
          <w:color w:val="000000" w:themeColor="text1"/>
        </w:rPr>
        <w:t>suchten</w:t>
      </w:r>
      <w:r w:rsidR="005B4CD7">
        <w:rPr>
          <w:rFonts w:eastAsia="Times New Roman" w:cstheme="minorHAnsi"/>
          <w:color w:val="000000" w:themeColor="text1"/>
        </w:rPr>
        <w:t xml:space="preserve"> </w:t>
      </w:r>
      <w:r w:rsidR="000A159B" w:rsidRPr="00914548">
        <w:rPr>
          <w:rFonts w:eastAsia="Times New Roman" w:cstheme="minorHAnsi"/>
          <w:color w:val="000000" w:themeColor="text1"/>
        </w:rPr>
        <w:t>sie</w:t>
      </w:r>
      <w:r w:rsidR="00BE5424" w:rsidRPr="00914548">
        <w:rPr>
          <w:rFonts w:eastAsia="Times New Roman" w:cstheme="minorHAnsi"/>
          <w:color w:val="000000" w:themeColor="text1"/>
        </w:rPr>
        <w:t xml:space="preserve"> </w:t>
      </w:r>
      <w:r w:rsidR="005C3B0F" w:rsidRPr="00914548">
        <w:rPr>
          <w:rFonts w:eastAsia="Times New Roman" w:cstheme="minorHAnsi"/>
          <w:color w:val="000000" w:themeColor="text1"/>
        </w:rPr>
        <w:t xml:space="preserve">bei </w:t>
      </w:r>
      <w:r w:rsidR="00B26E75" w:rsidRPr="00914548">
        <w:rPr>
          <w:rFonts w:eastAsia="Times New Roman" w:cstheme="minorHAnsi"/>
          <w:color w:val="000000" w:themeColor="text1"/>
        </w:rPr>
        <w:t xml:space="preserve">HDR wesentlich öfter nach </w:t>
      </w:r>
      <w:r w:rsidR="00BE5424" w:rsidRPr="00914548">
        <w:rPr>
          <w:rFonts w:eastAsia="Times New Roman" w:cstheme="minorHAnsi"/>
          <w:color w:val="000000" w:themeColor="text1"/>
        </w:rPr>
        <w:t xml:space="preserve">der </w:t>
      </w:r>
      <w:r w:rsidR="00B26E75" w:rsidRPr="00914548">
        <w:rPr>
          <w:rFonts w:eastAsia="Times New Roman" w:cstheme="minorHAnsi"/>
          <w:color w:val="000000" w:themeColor="text1"/>
        </w:rPr>
        <w:t>Dolby Vision als nach HDR10(+)</w:t>
      </w:r>
      <w:r w:rsidR="00BE5424" w:rsidRPr="00914548">
        <w:rPr>
          <w:rFonts w:eastAsia="Times New Roman" w:cstheme="minorHAnsi"/>
          <w:color w:val="000000" w:themeColor="text1"/>
        </w:rPr>
        <w:t xml:space="preserve">. Im Vergleich dazu </w:t>
      </w:r>
      <w:r w:rsidR="003E664E">
        <w:rPr>
          <w:rFonts w:eastAsia="Times New Roman" w:cstheme="minorHAnsi"/>
          <w:color w:val="000000" w:themeColor="text1"/>
        </w:rPr>
        <w:t xml:space="preserve">ist bei </w:t>
      </w:r>
      <w:r w:rsidR="00F13187" w:rsidRPr="00914548">
        <w:rPr>
          <w:rFonts w:eastAsia="Times New Roman" w:cstheme="minorHAnsi"/>
          <w:color w:val="000000" w:themeColor="text1"/>
        </w:rPr>
        <w:t>Beamer</w:t>
      </w:r>
      <w:r w:rsidR="00BE5424" w:rsidRPr="00914548">
        <w:rPr>
          <w:rFonts w:eastAsia="Times New Roman" w:cstheme="minorHAnsi"/>
          <w:color w:val="000000" w:themeColor="text1"/>
        </w:rPr>
        <w:t>n</w:t>
      </w:r>
      <w:r w:rsidR="00F13187" w:rsidRPr="00914548">
        <w:rPr>
          <w:rFonts w:eastAsia="Times New Roman" w:cstheme="minorHAnsi"/>
          <w:color w:val="000000" w:themeColor="text1"/>
        </w:rPr>
        <w:t xml:space="preserve"> die Auflösung</w:t>
      </w:r>
      <w:r w:rsidR="003E664E">
        <w:rPr>
          <w:rFonts w:eastAsia="Times New Roman" w:cstheme="minorHAnsi"/>
          <w:color w:val="000000" w:themeColor="text1"/>
        </w:rPr>
        <w:t xml:space="preserve"> essenziell, gefolgt vom </w:t>
      </w:r>
      <w:r w:rsidR="00F13187" w:rsidRPr="00914548">
        <w:rPr>
          <w:rFonts w:eastAsia="Times New Roman" w:cstheme="minorHAnsi"/>
          <w:color w:val="000000" w:themeColor="text1"/>
        </w:rPr>
        <w:t>Hersteller</w:t>
      </w:r>
      <w:r w:rsidR="00F7001F">
        <w:rPr>
          <w:rFonts w:eastAsia="Times New Roman" w:cstheme="minorHAnsi"/>
          <w:color w:val="000000" w:themeColor="text1"/>
        </w:rPr>
        <w:t xml:space="preserve"> und</w:t>
      </w:r>
      <w:r w:rsidR="00F13187" w:rsidRPr="00914548">
        <w:rPr>
          <w:rFonts w:eastAsia="Times New Roman" w:cstheme="minorHAnsi"/>
          <w:color w:val="000000" w:themeColor="text1"/>
        </w:rPr>
        <w:t xml:space="preserve"> </w:t>
      </w:r>
      <w:r w:rsidR="00F7001F">
        <w:rPr>
          <w:rFonts w:eastAsia="Times New Roman" w:cstheme="minorHAnsi"/>
          <w:color w:val="000000" w:themeColor="text1"/>
        </w:rPr>
        <w:t>der</w:t>
      </w:r>
      <w:r w:rsidR="00F7001F" w:rsidRPr="00914548">
        <w:rPr>
          <w:rFonts w:eastAsia="Times New Roman" w:cstheme="minorHAnsi"/>
          <w:color w:val="000000" w:themeColor="text1"/>
        </w:rPr>
        <w:t xml:space="preserve"> </w:t>
      </w:r>
      <w:r w:rsidR="00F13187" w:rsidRPr="00914548">
        <w:rPr>
          <w:rFonts w:eastAsia="Times New Roman" w:cstheme="minorHAnsi"/>
          <w:color w:val="000000" w:themeColor="text1"/>
        </w:rPr>
        <w:t xml:space="preserve">Lichtquelle </w:t>
      </w:r>
      <w:r w:rsidR="00AB005A" w:rsidRPr="00914548">
        <w:rPr>
          <w:rFonts w:eastAsia="Times New Roman" w:cstheme="minorHAnsi"/>
          <w:color w:val="000000" w:themeColor="text1"/>
        </w:rPr>
        <w:t>– hier w</w:t>
      </w:r>
      <w:r w:rsidR="006447AF">
        <w:rPr>
          <w:rFonts w:eastAsia="Times New Roman" w:cstheme="minorHAnsi"/>
          <w:color w:val="000000" w:themeColor="text1"/>
        </w:rPr>
        <w:t>urde</w:t>
      </w:r>
      <w:r w:rsidR="00AB005A" w:rsidRPr="00914548">
        <w:rPr>
          <w:rFonts w:eastAsia="Times New Roman" w:cstheme="minorHAnsi"/>
          <w:color w:val="000000" w:themeColor="text1"/>
        </w:rPr>
        <w:t xml:space="preserve"> meistens direkt nach dem Laser gefilter</w:t>
      </w:r>
      <w:r w:rsidR="005B4CD7">
        <w:rPr>
          <w:rFonts w:eastAsia="Times New Roman" w:cstheme="minorHAnsi"/>
          <w:color w:val="000000" w:themeColor="text1"/>
        </w:rPr>
        <w:t>t</w:t>
      </w:r>
      <w:r w:rsidR="006447AF">
        <w:rPr>
          <w:rFonts w:eastAsia="Times New Roman" w:cstheme="minorHAnsi"/>
          <w:color w:val="000000" w:themeColor="text1"/>
        </w:rPr>
        <w:t xml:space="preserve"> – </w:t>
      </w:r>
      <w:r w:rsidR="00F13187" w:rsidRPr="00914548">
        <w:rPr>
          <w:rFonts w:eastAsia="Times New Roman" w:cstheme="minorHAnsi"/>
          <w:color w:val="000000" w:themeColor="text1"/>
        </w:rPr>
        <w:t>sowie die Helligkeit</w:t>
      </w:r>
      <w:r w:rsidR="00914548" w:rsidRPr="00914548">
        <w:rPr>
          <w:rFonts w:eastAsia="Times New Roman" w:cstheme="minorHAnsi"/>
          <w:color w:val="000000" w:themeColor="text1"/>
        </w:rPr>
        <w:t xml:space="preserve"> ab 3.000 Lumen</w:t>
      </w:r>
      <w:r w:rsidR="00AB005A" w:rsidRPr="00914548">
        <w:rPr>
          <w:rFonts w:eastAsia="Times New Roman" w:cstheme="minorHAnsi"/>
          <w:color w:val="000000" w:themeColor="text1"/>
        </w:rPr>
        <w:t xml:space="preserve">. </w:t>
      </w:r>
      <w:r w:rsidR="00A02BF0">
        <w:rPr>
          <w:rFonts w:eastAsia="Times New Roman" w:cstheme="minorHAnsi"/>
          <w:color w:val="000000" w:themeColor="text1"/>
        </w:rPr>
        <w:t xml:space="preserve">Was den </w:t>
      </w:r>
      <w:r w:rsidR="000A159B" w:rsidRPr="00914548">
        <w:rPr>
          <w:rFonts w:eastAsia="Times New Roman" w:cstheme="minorHAnsi"/>
          <w:color w:val="000000" w:themeColor="text1"/>
        </w:rPr>
        <w:t xml:space="preserve">Typ </w:t>
      </w:r>
      <w:r w:rsidR="00CA503A">
        <w:rPr>
          <w:rFonts w:eastAsia="Times New Roman" w:cstheme="minorHAnsi"/>
          <w:color w:val="000000" w:themeColor="text1"/>
        </w:rPr>
        <w:t>anbelangt</w:t>
      </w:r>
      <w:r w:rsidR="00A02BF0">
        <w:rPr>
          <w:rFonts w:eastAsia="Times New Roman" w:cstheme="minorHAnsi"/>
          <w:color w:val="000000" w:themeColor="text1"/>
        </w:rPr>
        <w:t xml:space="preserve">, ist </w:t>
      </w:r>
      <w:r w:rsidR="000A159B" w:rsidRPr="00914548">
        <w:rPr>
          <w:rFonts w:eastAsia="Times New Roman" w:cstheme="minorHAnsi"/>
          <w:color w:val="000000" w:themeColor="text1"/>
        </w:rPr>
        <w:t>DLP</w:t>
      </w:r>
      <w:r w:rsidR="00A02BF0">
        <w:rPr>
          <w:rFonts w:eastAsia="Times New Roman" w:cstheme="minorHAnsi"/>
          <w:color w:val="000000" w:themeColor="text1"/>
        </w:rPr>
        <w:t xml:space="preserve"> häufiger gefragt </w:t>
      </w:r>
      <w:r w:rsidR="000A159B" w:rsidRPr="00914548">
        <w:rPr>
          <w:rFonts w:eastAsia="Times New Roman" w:cstheme="minorHAnsi"/>
          <w:color w:val="000000" w:themeColor="text1"/>
        </w:rPr>
        <w:t>als LCD oder LCOS.</w:t>
      </w:r>
    </w:p>
    <w:p w14:paraId="006BCCA4" w14:textId="77777777" w:rsidR="004F091F" w:rsidRPr="00A709CC" w:rsidRDefault="004F091F" w:rsidP="002F39DF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14:paraId="6FB387E3" w14:textId="77777777" w:rsidR="00BF0E5F" w:rsidRDefault="00B45A40">
      <w:pPr>
        <w:spacing w:after="0" w:line="240" w:lineRule="auto"/>
      </w:pPr>
      <w:r>
        <w:rPr>
          <w:b/>
          <w:bCs/>
          <w:lang w:val="de-DE"/>
        </w:rPr>
        <w:t xml:space="preserve">Über Geizhals </w:t>
      </w:r>
    </w:p>
    <w:p w14:paraId="557104A7" w14:textId="77777777" w:rsidR="00BF0E5F" w:rsidRDefault="00B45A40">
      <w:pPr>
        <w:spacing w:after="0" w:line="240" w:lineRule="auto"/>
      </w:pPr>
      <w:r>
        <w:rPr>
          <w:lang w:val="de-DE"/>
        </w:rPr>
        <w:t xml:space="preserve">Seit der Gründung 1997 hat sich </w:t>
      </w:r>
      <w:hyperlink r:id="rId20">
        <w:r>
          <w:rPr>
            <w:rStyle w:val="Internetverknpfung"/>
            <w:lang w:val="de-DE"/>
          </w:rPr>
          <w:t>Geizhals.at</w:t>
        </w:r>
      </w:hyperlink>
      <w:r>
        <w:rPr>
          <w:lang w:val="de-DE"/>
        </w:rPr>
        <w:t xml:space="preserve"> von einer unabhängigen Preisvergleichsplattform zu einem der </w:t>
      </w:r>
      <w:r>
        <w:t xml:space="preserve">größten E-Commerce-Portale im deutschsprachigen Raum entwickelt. Als neutraler Mittler zwischen 280.000 Händlern und monatlich </w:t>
      </w:r>
      <w:r>
        <w:rPr>
          <w:lang w:val="de-DE"/>
        </w:rPr>
        <w:t>12 Millionen</w:t>
      </w:r>
      <w:r>
        <w:t xml:space="preserve"> KonsumentInnen umfasst das Angebot sämtliche</w:t>
      </w:r>
      <w:r>
        <w:rPr>
          <w:strike/>
        </w:rPr>
        <w:t xml:space="preserve"> </w:t>
      </w:r>
      <w:r>
        <w:t xml:space="preserve">Bereiche – von Hardware und Unterhaltungselektronik bis hin zu Sportartikel, Kosmetik, Spielzeug uvm. </w:t>
      </w:r>
      <w:r>
        <w:rPr>
          <w:lang w:val="de-DE"/>
        </w:rPr>
        <w:t>Auf</w:t>
      </w:r>
      <w:r>
        <w:t xml:space="preserve"> Basis </w:t>
      </w:r>
      <w:r>
        <w:rPr>
          <w:lang w:val="de-DE"/>
        </w:rPr>
        <w:t xml:space="preserve">detaillierter Filter und Funktionen bietet das Unternehmen </w:t>
      </w:r>
      <w:r>
        <w:t xml:space="preserve">Kauf- und Preisberatung für über 2,2 Millionen Produkte in 14 Haupt- und über 130 Zusatzkategorien. Im Jahr </w:t>
      </w:r>
      <w:r>
        <w:rPr>
          <w:lang w:val="de-DE"/>
        </w:rPr>
        <w:t>2000 wurde Geizhals in die Preisvergleich Internet Services AG umgewandelt, an der sich der deutsche Heise Verlag 2013 beteiligte und mittlerweile über 90 Prozent hält.</w:t>
      </w:r>
      <w:r>
        <w:t xml:space="preserve"> Neben Österreich und Deutschland liefert die Plattform auch in Großbritannien sowie Polen wichtige Entscheidungshilfe und hat 2021 </w:t>
      </w:r>
      <w:hyperlink r:id="rId21">
        <w:r>
          <w:rPr>
            <w:rStyle w:val="Internetverknpfung"/>
          </w:rPr>
          <w:t>tarife.at</w:t>
        </w:r>
      </w:hyperlink>
      <w:r>
        <w:t xml:space="preserve"> übernommen. Mehr unter </w:t>
      </w:r>
      <w:hyperlink r:id="rId22">
        <w:r>
          <w:rPr>
            <w:rStyle w:val="Internetverknpfung"/>
          </w:rPr>
          <w:t>https://unternehmen.geizhals.at/</w:t>
        </w:r>
      </w:hyperlink>
      <w:r>
        <w:t xml:space="preserve"> </w:t>
      </w:r>
    </w:p>
    <w:p w14:paraId="6BCC57CD" w14:textId="77777777" w:rsidR="00BF0E5F" w:rsidRDefault="00BF0E5F">
      <w:pPr>
        <w:spacing w:after="0" w:line="240" w:lineRule="auto"/>
        <w:rPr>
          <w:b/>
          <w:bCs/>
        </w:rPr>
      </w:pPr>
    </w:p>
    <w:p w14:paraId="19514B36" w14:textId="40DFF92F" w:rsidR="00BF0E5F" w:rsidRPr="006E069D" w:rsidRDefault="00F25C00">
      <w:pPr>
        <w:spacing w:after="0" w:line="240" w:lineRule="auto"/>
        <w:rPr>
          <w:b/>
          <w:bCs/>
        </w:rPr>
      </w:pPr>
      <w:r w:rsidRPr="006E069D">
        <w:rPr>
          <w:b/>
          <w:bCs/>
        </w:rPr>
        <w:t>Infog</w:t>
      </w:r>
      <w:r w:rsidR="00B45A40" w:rsidRPr="006E069D">
        <w:rPr>
          <w:b/>
          <w:bCs/>
        </w:rPr>
        <w:t>rafiken</w:t>
      </w:r>
    </w:p>
    <w:p w14:paraId="1DE03CEF" w14:textId="203C5B5A" w:rsidR="006E069D" w:rsidRPr="006E069D" w:rsidRDefault="006E069D" w:rsidP="006E069D">
      <w:pPr>
        <w:pStyle w:val="Listenabsatz"/>
        <w:numPr>
          <w:ilvl w:val="0"/>
          <w:numId w:val="1"/>
        </w:numPr>
        <w:spacing w:after="0" w:line="240" w:lineRule="auto"/>
      </w:pPr>
      <w:r w:rsidRPr="006E069D">
        <w:t>Die Entwicklung des Fernseher-Marktes</w:t>
      </w:r>
      <w:r w:rsidR="00B45A40" w:rsidRPr="006E069D">
        <w:t xml:space="preserve"> (© Geizhals.at)</w:t>
      </w:r>
    </w:p>
    <w:p w14:paraId="6379FACD" w14:textId="19F1E3E0" w:rsidR="00BF0E5F" w:rsidRPr="006E069D" w:rsidRDefault="006E069D" w:rsidP="006E069D">
      <w:pPr>
        <w:pStyle w:val="Listenabsatz"/>
        <w:numPr>
          <w:ilvl w:val="0"/>
          <w:numId w:val="1"/>
        </w:numPr>
        <w:spacing w:after="0" w:line="240" w:lineRule="auto"/>
      </w:pPr>
      <w:r w:rsidRPr="006E069D">
        <w:t xml:space="preserve">Die Entwicklung des Beamer-Marktes </w:t>
      </w:r>
      <w:r w:rsidR="00B45A40" w:rsidRPr="006E069D">
        <w:t xml:space="preserve">(© Geizhals.at) </w:t>
      </w:r>
    </w:p>
    <w:p w14:paraId="221DC9A6" w14:textId="77777777" w:rsidR="00BF0E5F" w:rsidRDefault="00BF0E5F">
      <w:pPr>
        <w:spacing w:after="0" w:line="240" w:lineRule="auto"/>
        <w:rPr>
          <w:b/>
          <w:bCs/>
        </w:rPr>
      </w:pPr>
    </w:p>
    <w:p w14:paraId="6BCD9E79" w14:textId="24FFEE98" w:rsidR="00BF0E5F" w:rsidRDefault="00B45A40">
      <w:pPr>
        <w:spacing w:after="0" w:line="240" w:lineRule="auto"/>
        <w:rPr>
          <w:b/>
          <w:bCs/>
        </w:rPr>
      </w:pPr>
      <w:r>
        <w:rPr>
          <w:b/>
          <w:bCs/>
        </w:rPr>
        <w:t>Rückfragehinweis</w:t>
      </w:r>
    </w:p>
    <w:p w14:paraId="4A457880" w14:textId="77777777" w:rsidR="00BF0E5F" w:rsidRDefault="00BF0E5F">
      <w:pPr>
        <w:sectPr w:rsidR="00BF0E5F">
          <w:footerReference w:type="default" r:id="rId23"/>
          <w:pgSz w:w="11906" w:h="16838"/>
          <w:pgMar w:top="1417" w:right="1417" w:bottom="1134" w:left="1417" w:header="0" w:footer="708" w:gutter="0"/>
          <w:cols w:space="720"/>
          <w:formProt w:val="0"/>
          <w:docGrid w:linePitch="360" w:charSpace="20480"/>
        </w:sectPr>
      </w:pPr>
    </w:p>
    <w:p w14:paraId="662C99BE" w14:textId="77777777" w:rsidR="00BF0E5F" w:rsidRDefault="00B45A40">
      <w:pPr>
        <w:spacing w:after="0" w:line="240" w:lineRule="auto"/>
        <w:jc w:val="both"/>
      </w:pPr>
      <w:r>
        <w:rPr>
          <w:rFonts w:eastAsia="Times New Roman" w:cs="Calibri"/>
          <w:color w:val="000000"/>
          <w:lang w:eastAsia="de-DE"/>
        </w:rPr>
        <w:t>Dr. Alma Mautner</w:t>
      </w:r>
    </w:p>
    <w:p w14:paraId="581306A8" w14:textId="77777777" w:rsidR="00BF0E5F" w:rsidRDefault="00B45A4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t>Reiter PR</w:t>
      </w:r>
    </w:p>
    <w:p w14:paraId="6CF345CD" w14:textId="77777777" w:rsidR="00BF0E5F" w:rsidRDefault="00B45A40">
      <w:pPr>
        <w:tabs>
          <w:tab w:val="left" w:pos="198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eastAsia="Times New Roman" w:cs="Calibri"/>
          <w:color w:val="000000"/>
          <w:lang w:eastAsia="de-DE"/>
        </w:rPr>
        <w:t>+43 </w:t>
      </w:r>
      <w:r>
        <w:rPr>
          <w:rFonts w:cs="Calibri"/>
        </w:rPr>
        <w:t>681 10406622</w:t>
      </w:r>
    </w:p>
    <w:p w14:paraId="5D75E305" w14:textId="79BDC3BD" w:rsidR="00BF0E5F" w:rsidRDefault="008532D7" w:rsidP="0030549D">
      <w:pPr>
        <w:spacing w:after="0" w:line="240" w:lineRule="auto"/>
        <w:jc w:val="both"/>
      </w:pPr>
      <w:hyperlink r:id="rId24">
        <w:r w:rsidR="00B45A40">
          <w:rPr>
            <w:rStyle w:val="Internetverknpfung"/>
            <w:rFonts w:cs="Calibri"/>
            <w:sz w:val="21"/>
            <w:szCs w:val="21"/>
          </w:rPr>
          <w:t>alma.mautner@reiterpr.com</w:t>
        </w:r>
      </w:hyperlink>
    </w:p>
    <w:p w14:paraId="1C6B1838" w14:textId="77777777" w:rsidR="0095699F" w:rsidRDefault="0095699F">
      <w:pPr>
        <w:spacing w:after="0" w:line="240" w:lineRule="auto"/>
        <w:rPr>
          <w:lang w:val="de-DE"/>
        </w:rPr>
      </w:pPr>
    </w:p>
    <w:p w14:paraId="5E8300A3" w14:textId="77777777" w:rsidR="0095699F" w:rsidRDefault="0095699F">
      <w:pPr>
        <w:spacing w:after="0" w:line="240" w:lineRule="auto"/>
        <w:rPr>
          <w:lang w:val="de-DE"/>
        </w:rPr>
      </w:pPr>
    </w:p>
    <w:p w14:paraId="6EA7F71B" w14:textId="77777777" w:rsidR="0095699F" w:rsidRDefault="0095699F">
      <w:pPr>
        <w:spacing w:after="0" w:line="240" w:lineRule="auto"/>
        <w:rPr>
          <w:lang w:val="de-DE"/>
        </w:rPr>
      </w:pPr>
    </w:p>
    <w:p w14:paraId="218DCF15" w14:textId="77777777" w:rsidR="0095699F" w:rsidRDefault="0095699F">
      <w:pPr>
        <w:spacing w:after="0" w:line="240" w:lineRule="auto"/>
        <w:rPr>
          <w:lang w:val="de-DE"/>
        </w:rPr>
      </w:pPr>
    </w:p>
    <w:p w14:paraId="4694C993" w14:textId="77777777" w:rsidR="0095699F" w:rsidRDefault="0095699F">
      <w:pPr>
        <w:spacing w:after="0" w:line="240" w:lineRule="auto"/>
        <w:rPr>
          <w:lang w:val="de-DE"/>
        </w:rPr>
      </w:pPr>
    </w:p>
    <w:p w14:paraId="5D141911" w14:textId="77777777" w:rsidR="0095699F" w:rsidRDefault="0095699F">
      <w:pPr>
        <w:spacing w:after="0" w:line="240" w:lineRule="auto"/>
        <w:rPr>
          <w:lang w:val="de-DE"/>
        </w:rPr>
      </w:pPr>
    </w:p>
    <w:p w14:paraId="4CFD237E" w14:textId="77777777" w:rsidR="0095699F" w:rsidRDefault="0095699F">
      <w:pPr>
        <w:spacing w:after="0" w:line="240" w:lineRule="auto"/>
        <w:rPr>
          <w:lang w:val="de-DE"/>
        </w:rPr>
      </w:pPr>
    </w:p>
    <w:p w14:paraId="1F1B962A" w14:textId="77777777" w:rsidR="0095699F" w:rsidRDefault="0095699F">
      <w:pPr>
        <w:spacing w:after="0" w:line="240" w:lineRule="auto"/>
        <w:rPr>
          <w:lang w:val="de-DE"/>
        </w:rPr>
      </w:pPr>
    </w:p>
    <w:p w14:paraId="7A6E8455" w14:textId="77777777" w:rsidR="0095699F" w:rsidRDefault="0095699F">
      <w:pPr>
        <w:spacing w:after="0" w:line="240" w:lineRule="auto"/>
        <w:rPr>
          <w:lang w:val="de-DE"/>
        </w:rPr>
      </w:pPr>
    </w:p>
    <w:p w14:paraId="7821C4A9" w14:textId="77777777" w:rsidR="0095699F" w:rsidRDefault="0095699F">
      <w:pPr>
        <w:spacing w:after="0" w:line="240" w:lineRule="auto"/>
        <w:rPr>
          <w:lang w:val="de-DE"/>
        </w:rPr>
      </w:pPr>
    </w:p>
    <w:p w14:paraId="628D6840" w14:textId="77777777" w:rsidR="006E069D" w:rsidRDefault="006E069D">
      <w:pPr>
        <w:spacing w:after="0" w:line="240" w:lineRule="auto"/>
        <w:rPr>
          <w:lang w:val="de-DE"/>
        </w:rPr>
      </w:pPr>
    </w:p>
    <w:p w14:paraId="25983B5B" w14:textId="77777777" w:rsidR="006E069D" w:rsidRDefault="006E069D">
      <w:pPr>
        <w:spacing w:after="0" w:line="240" w:lineRule="auto"/>
        <w:rPr>
          <w:lang w:val="de-DE"/>
        </w:rPr>
      </w:pPr>
    </w:p>
    <w:p w14:paraId="4ED8AD66" w14:textId="77777777" w:rsidR="006E069D" w:rsidRDefault="006E069D">
      <w:pPr>
        <w:spacing w:after="0" w:line="240" w:lineRule="auto"/>
        <w:rPr>
          <w:lang w:val="de-DE"/>
        </w:rPr>
      </w:pPr>
    </w:p>
    <w:p w14:paraId="5DE53CFE" w14:textId="5C29E8E6" w:rsidR="00BF0E5F" w:rsidRDefault="00B45A40">
      <w:pPr>
        <w:spacing w:after="0" w:line="240" w:lineRule="auto"/>
        <w:rPr>
          <w:lang w:val="de-DE"/>
        </w:rPr>
      </w:pPr>
      <w:r>
        <w:rPr>
          <w:lang w:val="de-DE"/>
        </w:rPr>
        <w:t>Michael Nikolajuk, bakk. phil.</w:t>
      </w:r>
    </w:p>
    <w:p w14:paraId="3E61C10D" w14:textId="77777777" w:rsidR="00BF0E5F" w:rsidRDefault="00B45A40">
      <w:pPr>
        <w:spacing w:after="0" w:line="240" w:lineRule="auto"/>
        <w:rPr>
          <w:lang w:val="de-DE"/>
        </w:rPr>
      </w:pPr>
      <w:r>
        <w:t>Geizhals</w:t>
      </w:r>
      <w:r>
        <w:rPr>
          <w:lang w:val="de-DE"/>
        </w:rPr>
        <w:t>, Leitung Marketing &amp; Kommunikation</w:t>
      </w:r>
    </w:p>
    <w:p w14:paraId="4737F553" w14:textId="77777777" w:rsidR="00BF0E5F" w:rsidRDefault="00B45A40">
      <w:pPr>
        <w:spacing w:after="0" w:line="240" w:lineRule="auto"/>
        <w:rPr>
          <w:lang w:val="de-DE"/>
        </w:rPr>
      </w:pPr>
      <w:r>
        <w:rPr>
          <w:lang w:val="de-DE"/>
        </w:rPr>
        <w:t>+43 1 5811609 62</w:t>
      </w:r>
    </w:p>
    <w:p w14:paraId="48CB56AE" w14:textId="77777777" w:rsidR="00BF0E5F" w:rsidRDefault="008532D7">
      <w:pPr>
        <w:spacing w:after="0" w:line="240" w:lineRule="auto"/>
      </w:pPr>
      <w:hyperlink r:id="rId25">
        <w:r w:rsidR="00B45A40">
          <w:rPr>
            <w:rStyle w:val="Internetverknpfung"/>
            <w:lang w:val="de-DE"/>
          </w:rPr>
          <w:t>presse@geizhals.at</w:t>
        </w:r>
      </w:hyperlink>
      <w:r w:rsidR="00B45A40">
        <w:rPr>
          <w:lang w:val="de-DE"/>
        </w:rPr>
        <w:t xml:space="preserve"> </w:t>
      </w:r>
    </w:p>
    <w:sectPr w:rsidR="00BF0E5F">
      <w:type w:val="continuous"/>
      <w:pgSz w:w="11906" w:h="16838"/>
      <w:pgMar w:top="1417" w:right="1417" w:bottom="1134" w:left="1417" w:header="0" w:footer="708" w:gutter="0"/>
      <w:cols w:num="2"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8C711" w14:textId="77777777" w:rsidR="008532D7" w:rsidRDefault="008532D7">
      <w:pPr>
        <w:spacing w:after="0" w:line="240" w:lineRule="auto"/>
      </w:pPr>
      <w:r>
        <w:separator/>
      </w:r>
    </w:p>
  </w:endnote>
  <w:endnote w:type="continuationSeparator" w:id="0">
    <w:p w14:paraId="39674D64" w14:textId="77777777" w:rsidR="008532D7" w:rsidRDefault="0085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703658"/>
      <w:docPartObj>
        <w:docPartGallery w:val="Page Numbers (Bottom of Page)"/>
        <w:docPartUnique/>
      </w:docPartObj>
    </w:sdtPr>
    <w:sdtEndPr/>
    <w:sdtContent>
      <w:p w14:paraId="44A49B72" w14:textId="77777777" w:rsidR="00BF0E5F" w:rsidRDefault="00B45A40">
        <w:pPr>
          <w:pStyle w:val="Fuzeil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  <w:p w14:paraId="79EC466B" w14:textId="77777777" w:rsidR="00BF0E5F" w:rsidRDefault="008532D7">
        <w:pPr>
          <w:pStyle w:val="Fuzeil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4639C" w14:textId="77777777" w:rsidR="008532D7" w:rsidRDefault="008532D7">
      <w:pPr>
        <w:spacing w:after="0" w:line="240" w:lineRule="auto"/>
      </w:pPr>
      <w:r>
        <w:separator/>
      </w:r>
    </w:p>
  </w:footnote>
  <w:footnote w:type="continuationSeparator" w:id="0">
    <w:p w14:paraId="70924025" w14:textId="77777777" w:rsidR="008532D7" w:rsidRDefault="00853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0DF4"/>
    <w:multiLevelType w:val="multilevel"/>
    <w:tmpl w:val="E7543C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7E24C8"/>
    <w:multiLevelType w:val="multilevel"/>
    <w:tmpl w:val="6686B7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5DF1684"/>
    <w:multiLevelType w:val="multilevel"/>
    <w:tmpl w:val="1458E72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CF4AFE"/>
    <w:multiLevelType w:val="multilevel"/>
    <w:tmpl w:val="87680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64DC4"/>
    <w:multiLevelType w:val="multilevel"/>
    <w:tmpl w:val="26804E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B1B02B1"/>
    <w:multiLevelType w:val="hybridMultilevel"/>
    <w:tmpl w:val="E5AE08F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A722B2"/>
    <w:multiLevelType w:val="multilevel"/>
    <w:tmpl w:val="9EA0DE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837828"/>
    <w:multiLevelType w:val="multilevel"/>
    <w:tmpl w:val="DCE85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758019296">
    <w:abstractNumId w:val="4"/>
  </w:num>
  <w:num w:numId="2" w16cid:durableId="1252006811">
    <w:abstractNumId w:val="1"/>
  </w:num>
  <w:num w:numId="3" w16cid:durableId="1236087174">
    <w:abstractNumId w:val="0"/>
  </w:num>
  <w:num w:numId="4" w16cid:durableId="9924435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8699652">
    <w:abstractNumId w:val="7"/>
  </w:num>
  <w:num w:numId="6" w16cid:durableId="1662612970">
    <w:abstractNumId w:val="2"/>
  </w:num>
  <w:num w:numId="7" w16cid:durableId="84884908">
    <w:abstractNumId w:val="6"/>
  </w:num>
  <w:num w:numId="8" w16cid:durableId="1974214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5F"/>
    <w:rsid w:val="00004EE6"/>
    <w:rsid w:val="00010AEB"/>
    <w:rsid w:val="0001354A"/>
    <w:rsid w:val="00015E31"/>
    <w:rsid w:val="0002515B"/>
    <w:rsid w:val="0002692C"/>
    <w:rsid w:val="00026A91"/>
    <w:rsid w:val="00030656"/>
    <w:rsid w:val="00042A3C"/>
    <w:rsid w:val="00062944"/>
    <w:rsid w:val="0006314A"/>
    <w:rsid w:val="0007530E"/>
    <w:rsid w:val="0008221B"/>
    <w:rsid w:val="000838A2"/>
    <w:rsid w:val="00095A09"/>
    <w:rsid w:val="000A159B"/>
    <w:rsid w:val="000B0294"/>
    <w:rsid w:val="000B3EFD"/>
    <w:rsid w:val="000C5208"/>
    <w:rsid w:val="000D040C"/>
    <w:rsid w:val="000D211D"/>
    <w:rsid w:val="000D667A"/>
    <w:rsid w:val="000E1516"/>
    <w:rsid w:val="000E6663"/>
    <w:rsid w:val="000E7A54"/>
    <w:rsid w:val="000F0F9A"/>
    <w:rsid w:val="00102E8A"/>
    <w:rsid w:val="00110E2F"/>
    <w:rsid w:val="00111299"/>
    <w:rsid w:val="00121766"/>
    <w:rsid w:val="00123EA7"/>
    <w:rsid w:val="001258FB"/>
    <w:rsid w:val="0014106F"/>
    <w:rsid w:val="00143EEF"/>
    <w:rsid w:val="00151821"/>
    <w:rsid w:val="00154627"/>
    <w:rsid w:val="001648F3"/>
    <w:rsid w:val="001673CE"/>
    <w:rsid w:val="00173A47"/>
    <w:rsid w:val="00174B56"/>
    <w:rsid w:val="001759C3"/>
    <w:rsid w:val="001765C1"/>
    <w:rsid w:val="00181504"/>
    <w:rsid w:val="0019020E"/>
    <w:rsid w:val="0019168B"/>
    <w:rsid w:val="0019727A"/>
    <w:rsid w:val="001B4CB0"/>
    <w:rsid w:val="001C2744"/>
    <w:rsid w:val="001C3928"/>
    <w:rsid w:val="001C5E97"/>
    <w:rsid w:val="001C6485"/>
    <w:rsid w:val="001D7D52"/>
    <w:rsid w:val="001E0758"/>
    <w:rsid w:val="001E0C5D"/>
    <w:rsid w:val="001E49EE"/>
    <w:rsid w:val="001E6F2B"/>
    <w:rsid w:val="001F0E78"/>
    <w:rsid w:val="001F2645"/>
    <w:rsid w:val="001F7F09"/>
    <w:rsid w:val="00204FA0"/>
    <w:rsid w:val="002055C1"/>
    <w:rsid w:val="00205E09"/>
    <w:rsid w:val="002144D2"/>
    <w:rsid w:val="00233E38"/>
    <w:rsid w:val="0023562D"/>
    <w:rsid w:val="0026764A"/>
    <w:rsid w:val="00270916"/>
    <w:rsid w:val="00272EA6"/>
    <w:rsid w:val="00275B9F"/>
    <w:rsid w:val="00276EA0"/>
    <w:rsid w:val="0027722F"/>
    <w:rsid w:val="0027733E"/>
    <w:rsid w:val="00286441"/>
    <w:rsid w:val="0029778A"/>
    <w:rsid w:val="002A173A"/>
    <w:rsid w:val="002A6A5C"/>
    <w:rsid w:val="002D1D7C"/>
    <w:rsid w:val="002E10C0"/>
    <w:rsid w:val="002F39DF"/>
    <w:rsid w:val="00300D84"/>
    <w:rsid w:val="003048C8"/>
    <w:rsid w:val="0030549D"/>
    <w:rsid w:val="0030602F"/>
    <w:rsid w:val="00306183"/>
    <w:rsid w:val="00311A88"/>
    <w:rsid w:val="00322287"/>
    <w:rsid w:val="003256A7"/>
    <w:rsid w:val="00365FEF"/>
    <w:rsid w:val="0037461D"/>
    <w:rsid w:val="00374D77"/>
    <w:rsid w:val="00377699"/>
    <w:rsid w:val="00382B04"/>
    <w:rsid w:val="00384481"/>
    <w:rsid w:val="00391C03"/>
    <w:rsid w:val="003934BC"/>
    <w:rsid w:val="003A04FE"/>
    <w:rsid w:val="003A4D4B"/>
    <w:rsid w:val="003C388B"/>
    <w:rsid w:val="003C3A23"/>
    <w:rsid w:val="003E664E"/>
    <w:rsid w:val="003F38E7"/>
    <w:rsid w:val="003F5D27"/>
    <w:rsid w:val="00400CA0"/>
    <w:rsid w:val="00403C2E"/>
    <w:rsid w:val="00410414"/>
    <w:rsid w:val="0041055F"/>
    <w:rsid w:val="00410B9B"/>
    <w:rsid w:val="0042697C"/>
    <w:rsid w:val="004300FE"/>
    <w:rsid w:val="00435856"/>
    <w:rsid w:val="00440B27"/>
    <w:rsid w:val="00450AC5"/>
    <w:rsid w:val="00454164"/>
    <w:rsid w:val="00465025"/>
    <w:rsid w:val="00466D2C"/>
    <w:rsid w:val="00466D9F"/>
    <w:rsid w:val="004765F0"/>
    <w:rsid w:val="00483D30"/>
    <w:rsid w:val="00486E8A"/>
    <w:rsid w:val="004A08A1"/>
    <w:rsid w:val="004B3C4B"/>
    <w:rsid w:val="004B66CE"/>
    <w:rsid w:val="004B6F9A"/>
    <w:rsid w:val="004D1953"/>
    <w:rsid w:val="004E0253"/>
    <w:rsid w:val="004F091F"/>
    <w:rsid w:val="004F6A21"/>
    <w:rsid w:val="005025E0"/>
    <w:rsid w:val="00503B9D"/>
    <w:rsid w:val="0050791D"/>
    <w:rsid w:val="00517390"/>
    <w:rsid w:val="005177C1"/>
    <w:rsid w:val="00517F49"/>
    <w:rsid w:val="005251D7"/>
    <w:rsid w:val="00526D72"/>
    <w:rsid w:val="00535C91"/>
    <w:rsid w:val="005413A5"/>
    <w:rsid w:val="0054391F"/>
    <w:rsid w:val="00544729"/>
    <w:rsid w:val="00555A0E"/>
    <w:rsid w:val="00577744"/>
    <w:rsid w:val="00597814"/>
    <w:rsid w:val="00597D0E"/>
    <w:rsid w:val="005B0E8A"/>
    <w:rsid w:val="005B4CD7"/>
    <w:rsid w:val="005C1E02"/>
    <w:rsid w:val="005C3B0F"/>
    <w:rsid w:val="005C4106"/>
    <w:rsid w:val="005D1E54"/>
    <w:rsid w:val="005D5D74"/>
    <w:rsid w:val="005D6823"/>
    <w:rsid w:val="005E5D86"/>
    <w:rsid w:val="005E6F5E"/>
    <w:rsid w:val="005F3876"/>
    <w:rsid w:val="005F3B6B"/>
    <w:rsid w:val="005F5070"/>
    <w:rsid w:val="00612F47"/>
    <w:rsid w:val="006131D2"/>
    <w:rsid w:val="006447AF"/>
    <w:rsid w:val="006474F8"/>
    <w:rsid w:val="006571F3"/>
    <w:rsid w:val="00660BA7"/>
    <w:rsid w:val="00661999"/>
    <w:rsid w:val="0067317F"/>
    <w:rsid w:val="00675335"/>
    <w:rsid w:val="00682986"/>
    <w:rsid w:val="00695870"/>
    <w:rsid w:val="00697F53"/>
    <w:rsid w:val="006B22BA"/>
    <w:rsid w:val="006C0839"/>
    <w:rsid w:val="006D16CF"/>
    <w:rsid w:val="006D1C00"/>
    <w:rsid w:val="006D4625"/>
    <w:rsid w:val="006E069D"/>
    <w:rsid w:val="006E2F98"/>
    <w:rsid w:val="006E5396"/>
    <w:rsid w:val="006F465B"/>
    <w:rsid w:val="00700405"/>
    <w:rsid w:val="0070756C"/>
    <w:rsid w:val="00722D31"/>
    <w:rsid w:val="0072537E"/>
    <w:rsid w:val="00731367"/>
    <w:rsid w:val="00742411"/>
    <w:rsid w:val="00746861"/>
    <w:rsid w:val="00746967"/>
    <w:rsid w:val="0075171B"/>
    <w:rsid w:val="00754ED7"/>
    <w:rsid w:val="00760393"/>
    <w:rsid w:val="007634A6"/>
    <w:rsid w:val="007664BD"/>
    <w:rsid w:val="007670BD"/>
    <w:rsid w:val="007750E2"/>
    <w:rsid w:val="007762CF"/>
    <w:rsid w:val="00780FD5"/>
    <w:rsid w:val="00787673"/>
    <w:rsid w:val="007A6EDA"/>
    <w:rsid w:val="007C1B27"/>
    <w:rsid w:val="007D0175"/>
    <w:rsid w:val="007D490A"/>
    <w:rsid w:val="007D4CBC"/>
    <w:rsid w:val="007D7900"/>
    <w:rsid w:val="007E3F3C"/>
    <w:rsid w:val="007E7552"/>
    <w:rsid w:val="007F0AD3"/>
    <w:rsid w:val="007F3D86"/>
    <w:rsid w:val="007F6A84"/>
    <w:rsid w:val="007F6CDF"/>
    <w:rsid w:val="00804648"/>
    <w:rsid w:val="00804C1E"/>
    <w:rsid w:val="008058C3"/>
    <w:rsid w:val="00805F64"/>
    <w:rsid w:val="00816F9A"/>
    <w:rsid w:val="008417A8"/>
    <w:rsid w:val="00844949"/>
    <w:rsid w:val="008523EB"/>
    <w:rsid w:val="008532D7"/>
    <w:rsid w:val="00866675"/>
    <w:rsid w:val="00870E8B"/>
    <w:rsid w:val="0087468B"/>
    <w:rsid w:val="00874A1D"/>
    <w:rsid w:val="00874A39"/>
    <w:rsid w:val="0088007B"/>
    <w:rsid w:val="00885CA4"/>
    <w:rsid w:val="0088776D"/>
    <w:rsid w:val="0089237B"/>
    <w:rsid w:val="00892FCC"/>
    <w:rsid w:val="00893875"/>
    <w:rsid w:val="008A231D"/>
    <w:rsid w:val="008A52E0"/>
    <w:rsid w:val="008A5D20"/>
    <w:rsid w:val="008B0A48"/>
    <w:rsid w:val="008B3117"/>
    <w:rsid w:val="008B3485"/>
    <w:rsid w:val="008B3D34"/>
    <w:rsid w:val="008B670B"/>
    <w:rsid w:val="008C66F6"/>
    <w:rsid w:val="008D1352"/>
    <w:rsid w:val="008D2244"/>
    <w:rsid w:val="008D56D8"/>
    <w:rsid w:val="008D71AF"/>
    <w:rsid w:val="008E010A"/>
    <w:rsid w:val="008E2747"/>
    <w:rsid w:val="008E5333"/>
    <w:rsid w:val="008E6413"/>
    <w:rsid w:val="008F3DE2"/>
    <w:rsid w:val="00902752"/>
    <w:rsid w:val="00907809"/>
    <w:rsid w:val="00914548"/>
    <w:rsid w:val="009175FE"/>
    <w:rsid w:val="00930108"/>
    <w:rsid w:val="00941084"/>
    <w:rsid w:val="0094123D"/>
    <w:rsid w:val="00950E75"/>
    <w:rsid w:val="00955F47"/>
    <w:rsid w:val="0095699F"/>
    <w:rsid w:val="00956C98"/>
    <w:rsid w:val="00964D48"/>
    <w:rsid w:val="00965250"/>
    <w:rsid w:val="0096743E"/>
    <w:rsid w:val="00972AD7"/>
    <w:rsid w:val="00985C05"/>
    <w:rsid w:val="009926A2"/>
    <w:rsid w:val="00996130"/>
    <w:rsid w:val="009C297E"/>
    <w:rsid w:val="009C62A3"/>
    <w:rsid w:val="009D02E6"/>
    <w:rsid w:val="009E2C5B"/>
    <w:rsid w:val="009E3EFD"/>
    <w:rsid w:val="009E5FD9"/>
    <w:rsid w:val="00A02BF0"/>
    <w:rsid w:val="00A075D8"/>
    <w:rsid w:val="00A11901"/>
    <w:rsid w:val="00A1313B"/>
    <w:rsid w:val="00A145B8"/>
    <w:rsid w:val="00A147B8"/>
    <w:rsid w:val="00A17EEA"/>
    <w:rsid w:val="00A21B12"/>
    <w:rsid w:val="00A2647E"/>
    <w:rsid w:val="00A30CE6"/>
    <w:rsid w:val="00A3598F"/>
    <w:rsid w:val="00A45E64"/>
    <w:rsid w:val="00A4799E"/>
    <w:rsid w:val="00A55712"/>
    <w:rsid w:val="00A709CC"/>
    <w:rsid w:val="00A71FA5"/>
    <w:rsid w:val="00A75E85"/>
    <w:rsid w:val="00A84224"/>
    <w:rsid w:val="00A84499"/>
    <w:rsid w:val="00A86DEF"/>
    <w:rsid w:val="00A913F6"/>
    <w:rsid w:val="00A9390F"/>
    <w:rsid w:val="00AA3904"/>
    <w:rsid w:val="00AA48C1"/>
    <w:rsid w:val="00AA7674"/>
    <w:rsid w:val="00AB005A"/>
    <w:rsid w:val="00AB285D"/>
    <w:rsid w:val="00AC2621"/>
    <w:rsid w:val="00AD30BC"/>
    <w:rsid w:val="00AD4CE7"/>
    <w:rsid w:val="00AE0952"/>
    <w:rsid w:val="00AE0ECC"/>
    <w:rsid w:val="00AE2336"/>
    <w:rsid w:val="00AE3520"/>
    <w:rsid w:val="00AF1B9C"/>
    <w:rsid w:val="00AF466F"/>
    <w:rsid w:val="00B07552"/>
    <w:rsid w:val="00B26E75"/>
    <w:rsid w:val="00B32702"/>
    <w:rsid w:val="00B45A40"/>
    <w:rsid w:val="00B5411B"/>
    <w:rsid w:val="00B544C6"/>
    <w:rsid w:val="00B621D5"/>
    <w:rsid w:val="00B80502"/>
    <w:rsid w:val="00B8452F"/>
    <w:rsid w:val="00B93BA3"/>
    <w:rsid w:val="00BA447A"/>
    <w:rsid w:val="00BC3771"/>
    <w:rsid w:val="00BC4A1E"/>
    <w:rsid w:val="00BD0718"/>
    <w:rsid w:val="00BD6C8E"/>
    <w:rsid w:val="00BD7192"/>
    <w:rsid w:val="00BE5424"/>
    <w:rsid w:val="00BF0E5F"/>
    <w:rsid w:val="00C00756"/>
    <w:rsid w:val="00C172F6"/>
    <w:rsid w:val="00C24D6B"/>
    <w:rsid w:val="00C26D32"/>
    <w:rsid w:val="00C324C9"/>
    <w:rsid w:val="00C40AEE"/>
    <w:rsid w:val="00C45261"/>
    <w:rsid w:val="00C47159"/>
    <w:rsid w:val="00C50217"/>
    <w:rsid w:val="00C515BC"/>
    <w:rsid w:val="00C516D4"/>
    <w:rsid w:val="00C56C19"/>
    <w:rsid w:val="00C70C21"/>
    <w:rsid w:val="00C80FDD"/>
    <w:rsid w:val="00C870E7"/>
    <w:rsid w:val="00C91496"/>
    <w:rsid w:val="00C9407B"/>
    <w:rsid w:val="00CA4D3C"/>
    <w:rsid w:val="00CA503A"/>
    <w:rsid w:val="00CA582D"/>
    <w:rsid w:val="00CA5EF9"/>
    <w:rsid w:val="00CB3889"/>
    <w:rsid w:val="00CB50CF"/>
    <w:rsid w:val="00CB5B5D"/>
    <w:rsid w:val="00CC38F2"/>
    <w:rsid w:val="00CD2B48"/>
    <w:rsid w:val="00CD2F22"/>
    <w:rsid w:val="00CE2582"/>
    <w:rsid w:val="00CE47CB"/>
    <w:rsid w:val="00CF0778"/>
    <w:rsid w:val="00CF739F"/>
    <w:rsid w:val="00D01C5F"/>
    <w:rsid w:val="00D14296"/>
    <w:rsid w:val="00D150E3"/>
    <w:rsid w:val="00D17C71"/>
    <w:rsid w:val="00D273CC"/>
    <w:rsid w:val="00D3492B"/>
    <w:rsid w:val="00D4609F"/>
    <w:rsid w:val="00D54DA3"/>
    <w:rsid w:val="00D627EC"/>
    <w:rsid w:val="00D62CE0"/>
    <w:rsid w:val="00D72059"/>
    <w:rsid w:val="00D73DBE"/>
    <w:rsid w:val="00D815FC"/>
    <w:rsid w:val="00D91C6F"/>
    <w:rsid w:val="00DA147F"/>
    <w:rsid w:val="00DA2548"/>
    <w:rsid w:val="00DD1387"/>
    <w:rsid w:val="00DD5C80"/>
    <w:rsid w:val="00DE1A68"/>
    <w:rsid w:val="00DE603E"/>
    <w:rsid w:val="00DF2CDB"/>
    <w:rsid w:val="00DF394B"/>
    <w:rsid w:val="00DF4A57"/>
    <w:rsid w:val="00E009C0"/>
    <w:rsid w:val="00E02F87"/>
    <w:rsid w:val="00E06167"/>
    <w:rsid w:val="00E12690"/>
    <w:rsid w:val="00E1637A"/>
    <w:rsid w:val="00E265A5"/>
    <w:rsid w:val="00E30386"/>
    <w:rsid w:val="00E303F5"/>
    <w:rsid w:val="00E34C7B"/>
    <w:rsid w:val="00E450C6"/>
    <w:rsid w:val="00E53D93"/>
    <w:rsid w:val="00E561F8"/>
    <w:rsid w:val="00E63DAF"/>
    <w:rsid w:val="00E710AF"/>
    <w:rsid w:val="00E71440"/>
    <w:rsid w:val="00E75B4D"/>
    <w:rsid w:val="00E764FB"/>
    <w:rsid w:val="00E8554B"/>
    <w:rsid w:val="00E91380"/>
    <w:rsid w:val="00EA4061"/>
    <w:rsid w:val="00EB1C7B"/>
    <w:rsid w:val="00EB1CEB"/>
    <w:rsid w:val="00EC7087"/>
    <w:rsid w:val="00EC7933"/>
    <w:rsid w:val="00ED151C"/>
    <w:rsid w:val="00ED1BDE"/>
    <w:rsid w:val="00EE6B70"/>
    <w:rsid w:val="00EF1F19"/>
    <w:rsid w:val="00EF32E5"/>
    <w:rsid w:val="00EF7CDD"/>
    <w:rsid w:val="00F01CF2"/>
    <w:rsid w:val="00F03E2A"/>
    <w:rsid w:val="00F13187"/>
    <w:rsid w:val="00F138DB"/>
    <w:rsid w:val="00F15483"/>
    <w:rsid w:val="00F22F8F"/>
    <w:rsid w:val="00F25C00"/>
    <w:rsid w:val="00F32E58"/>
    <w:rsid w:val="00F357D7"/>
    <w:rsid w:val="00F35907"/>
    <w:rsid w:val="00F36D4F"/>
    <w:rsid w:val="00F3706E"/>
    <w:rsid w:val="00F37CF6"/>
    <w:rsid w:val="00F52C76"/>
    <w:rsid w:val="00F52D8C"/>
    <w:rsid w:val="00F7001F"/>
    <w:rsid w:val="00F70FBB"/>
    <w:rsid w:val="00F75C9D"/>
    <w:rsid w:val="00F82993"/>
    <w:rsid w:val="00F902D1"/>
    <w:rsid w:val="00FA2384"/>
    <w:rsid w:val="00FA557A"/>
    <w:rsid w:val="00FB0E43"/>
    <w:rsid w:val="00FB3722"/>
    <w:rsid w:val="00FC2F66"/>
    <w:rsid w:val="00FC7D1C"/>
    <w:rsid w:val="00FD3E85"/>
    <w:rsid w:val="00FD7002"/>
    <w:rsid w:val="00FE4E8D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45BE"/>
  <w15:docId w15:val="{0EB53B5C-ADF1-4056-A7A8-78DD4650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50E2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F7532F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1B153B"/>
  </w:style>
  <w:style w:type="character" w:customStyle="1" w:styleId="FuzeileZchn">
    <w:name w:val="Fußzeile Zchn"/>
    <w:basedOn w:val="Absatz-Standardschriftart"/>
    <w:link w:val="Fuzeile"/>
    <w:uiPriority w:val="99"/>
    <w:qFormat/>
    <w:rsid w:val="001B153B"/>
  </w:style>
  <w:style w:type="character" w:customStyle="1" w:styleId="Internetverknpfung">
    <w:name w:val="Internetverknüpfung"/>
    <w:basedOn w:val="Absatz-Standardschriftart"/>
    <w:uiPriority w:val="99"/>
    <w:unhideWhenUsed/>
    <w:rsid w:val="00CE4EB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1140A4"/>
    <w:rPr>
      <w:color w:val="605E5C"/>
      <w:shd w:val="clear" w:color="auto" w:fill="E1DFDD"/>
    </w:rPr>
  </w:style>
  <w:style w:type="character" w:customStyle="1" w:styleId="NurTextZchn">
    <w:name w:val="Nur Text Zchn"/>
    <w:basedOn w:val="Absatz-Standardschriftart"/>
    <w:link w:val="NurText"/>
    <w:uiPriority w:val="99"/>
    <w:semiHidden/>
    <w:qFormat/>
    <w:rsid w:val="008E2140"/>
    <w:rPr>
      <w:rFonts w:ascii="Calibri" w:hAnsi="Calibri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D721C9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9930AE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9930AE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9930AE"/>
    <w:rPr>
      <w:b/>
      <w:bCs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 w:cs="Calibri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Calibri" w:cs="Calibri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Calibri" w:cs="Calibri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Calibri" w:cs="Calibri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 w:cs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eastAsia="Calibri" w:cs="Calibri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eastAsia="Calibri" w:cs="Calibri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color w:val="auto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eastAsia="Calibri" w:cs="Calibri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</w:style>
  <w:style w:type="character" w:customStyle="1" w:styleId="ListLabel117">
    <w:name w:val="ListLabel 117"/>
    <w:qFormat/>
    <w:rPr>
      <w:lang w:val="de-DE"/>
    </w:rPr>
  </w:style>
  <w:style w:type="character" w:customStyle="1" w:styleId="ListLabel118">
    <w:name w:val="ListLabel 118"/>
    <w:qFormat/>
    <w:rPr>
      <w:rFonts w:ascii="Calibri" w:hAnsi="Calibri" w:cs="Calibri"/>
      <w:sz w:val="21"/>
      <w:szCs w:val="21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</w:style>
  <w:style w:type="character" w:customStyle="1" w:styleId="ListLabel139">
    <w:name w:val="ListLabel 139"/>
    <w:qFormat/>
    <w:rPr>
      <w:lang w:val="de-DE"/>
    </w:rPr>
  </w:style>
  <w:style w:type="character" w:customStyle="1" w:styleId="ListLabel140">
    <w:name w:val="ListLabel 140"/>
    <w:qFormat/>
    <w:rPr>
      <w:rFonts w:cs="Calibri"/>
      <w:sz w:val="21"/>
      <w:szCs w:val="21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b/>
      <w:bCs/>
    </w:rPr>
  </w:style>
  <w:style w:type="character" w:customStyle="1" w:styleId="ListLabel205">
    <w:name w:val="ListLabel 205"/>
    <w:qFormat/>
  </w:style>
  <w:style w:type="character" w:customStyle="1" w:styleId="ListLabel206">
    <w:name w:val="ListLabel 206"/>
    <w:qFormat/>
    <w:rPr>
      <w:rFonts w:cstheme="minorHAnsi"/>
    </w:rPr>
  </w:style>
  <w:style w:type="character" w:customStyle="1" w:styleId="ListLabel207">
    <w:name w:val="ListLabel 207"/>
    <w:qFormat/>
    <w:rPr>
      <w:rFonts w:cstheme="minorHAnsi"/>
      <w:b/>
      <w:bCs/>
    </w:rPr>
  </w:style>
  <w:style w:type="character" w:customStyle="1" w:styleId="ListLabel208">
    <w:name w:val="ListLabel 208"/>
    <w:qFormat/>
    <w:rPr>
      <w:lang w:val="en-US"/>
    </w:rPr>
  </w:style>
  <w:style w:type="character" w:customStyle="1" w:styleId="ListLabel209">
    <w:name w:val="ListLabel 209"/>
    <w:qFormat/>
    <w:rPr>
      <w:lang w:val="de-DE"/>
    </w:rPr>
  </w:style>
  <w:style w:type="character" w:customStyle="1" w:styleId="ListLabel210">
    <w:name w:val="ListLabel 210"/>
    <w:qFormat/>
  </w:style>
  <w:style w:type="character" w:customStyle="1" w:styleId="ListLabel211">
    <w:name w:val="ListLabel 211"/>
    <w:qFormat/>
    <w:rPr>
      <w:rFonts w:cs="Calibri"/>
      <w:sz w:val="21"/>
      <w:szCs w:val="21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DD7307"/>
    <w:rPr>
      <w:sz w:val="20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DD7307"/>
    <w:rPr>
      <w:vertAlign w:val="superscript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eastAsia="Times New Roman" w:cs="Calibri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eastAsia="Times New Roman" w:cs="Calibri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eastAsia="Times New Roman" w:cstheme="minorHAnsi"/>
      <w:i/>
      <w:iCs/>
    </w:rPr>
  </w:style>
  <w:style w:type="character" w:customStyle="1" w:styleId="ListLabel308">
    <w:name w:val="ListLabel 308"/>
    <w:qFormat/>
    <w:rPr>
      <w:rFonts w:eastAsia="Times New Roman"/>
      <w:i/>
      <w:iCs/>
    </w:rPr>
  </w:style>
  <w:style w:type="character" w:customStyle="1" w:styleId="ListLabel309">
    <w:name w:val="ListLabel 309"/>
    <w:qFormat/>
    <w:rPr>
      <w:lang w:val="de-DE"/>
    </w:rPr>
  </w:style>
  <w:style w:type="character" w:customStyle="1" w:styleId="ListLabel310">
    <w:name w:val="ListLabel 310"/>
    <w:qFormat/>
  </w:style>
  <w:style w:type="character" w:customStyle="1" w:styleId="ListLabel311">
    <w:name w:val="ListLabel 311"/>
    <w:qFormat/>
    <w:rPr>
      <w:rFonts w:cs="Calibri"/>
      <w:sz w:val="21"/>
      <w:szCs w:val="21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lang w:val="de-DE"/>
    </w:rPr>
  </w:style>
  <w:style w:type="character" w:customStyle="1" w:styleId="ListLabel358">
    <w:name w:val="ListLabel 358"/>
    <w:qFormat/>
  </w:style>
  <w:style w:type="character" w:customStyle="1" w:styleId="ListLabel359">
    <w:name w:val="ListLabel 359"/>
    <w:qFormat/>
    <w:rPr>
      <w:rFonts w:cs="Calibri"/>
      <w:sz w:val="21"/>
      <w:szCs w:val="21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StandardWeb">
    <w:name w:val="Normal (Web)"/>
    <w:basedOn w:val="Standard"/>
    <w:uiPriority w:val="99"/>
    <w:semiHidden/>
    <w:unhideWhenUsed/>
    <w:qFormat/>
    <w:rsid w:val="00F7532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306ED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B153B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1B153B"/>
    <w:pPr>
      <w:tabs>
        <w:tab w:val="center" w:pos="4536"/>
        <w:tab w:val="right" w:pos="9072"/>
      </w:tabs>
      <w:spacing w:after="0" w:line="240" w:lineRule="auto"/>
    </w:pPr>
  </w:style>
  <w:style w:type="paragraph" w:styleId="NurText">
    <w:name w:val="Plain Text"/>
    <w:basedOn w:val="Standard"/>
    <w:link w:val="NurTextZchn"/>
    <w:uiPriority w:val="99"/>
    <w:semiHidden/>
    <w:unhideWhenUsed/>
    <w:qFormat/>
    <w:rsid w:val="008E2140"/>
    <w:pPr>
      <w:spacing w:after="0" w:line="240" w:lineRule="auto"/>
    </w:pPr>
    <w:rPr>
      <w:rFonts w:ascii="Calibri" w:hAnsi="Calibri"/>
      <w:szCs w:val="21"/>
    </w:rPr>
  </w:style>
  <w:style w:type="paragraph" w:styleId="berarbeitung">
    <w:name w:val="Revision"/>
    <w:uiPriority w:val="99"/>
    <w:semiHidden/>
    <w:qFormat/>
    <w:rsid w:val="000B4A3E"/>
  </w:style>
  <w:style w:type="paragraph" w:styleId="Kommentartext">
    <w:name w:val="annotation text"/>
    <w:basedOn w:val="Standard"/>
    <w:link w:val="KommentartextZchn"/>
    <w:uiPriority w:val="99"/>
    <w:unhideWhenUsed/>
    <w:qFormat/>
    <w:rsid w:val="009930AE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9930AE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D7307"/>
    <w:pPr>
      <w:spacing w:after="0" w:line="240" w:lineRule="auto"/>
    </w:pPr>
    <w:rPr>
      <w:sz w:val="20"/>
      <w:szCs w:val="20"/>
    </w:rPr>
  </w:style>
  <w:style w:type="paragraph" w:customStyle="1" w:styleId="msonormal0">
    <w:name w:val="msonormal"/>
    <w:basedOn w:val="Standard"/>
    <w:qFormat/>
    <w:rsid w:val="00223B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65">
    <w:name w:val="xl65"/>
    <w:basedOn w:val="Standard"/>
    <w:qFormat/>
    <w:rsid w:val="00223B43"/>
    <w:pPr>
      <w:shd w:val="clear" w:color="FFCC99" w:fill="FFAA95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66">
    <w:name w:val="xl66"/>
    <w:basedOn w:val="Standard"/>
    <w:qFormat/>
    <w:rsid w:val="00223B43"/>
    <w:pPr>
      <w:shd w:val="clear" w:color="FFCC99" w:fill="FFAA95"/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paragraph" w:customStyle="1" w:styleId="xl67">
    <w:name w:val="xl67"/>
    <w:basedOn w:val="Standard"/>
    <w:qFormat/>
    <w:rsid w:val="00223B43"/>
    <w:pPr>
      <w:shd w:val="clear" w:color="B2B2B2" w:fill="B7B3CA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68">
    <w:name w:val="xl68"/>
    <w:basedOn w:val="Standard"/>
    <w:qFormat/>
    <w:rsid w:val="00223B43"/>
    <w:pPr>
      <w:shd w:val="clear" w:color="B2B2B2" w:fill="B7B3CA"/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paragraph" w:customStyle="1" w:styleId="xl69">
    <w:name w:val="xl69"/>
    <w:basedOn w:val="Standard"/>
    <w:qFormat/>
    <w:rsid w:val="00223B43"/>
    <w:pPr>
      <w:shd w:val="clear" w:color="808000" w:fill="ACB20C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70">
    <w:name w:val="xl70"/>
    <w:basedOn w:val="Standard"/>
    <w:qFormat/>
    <w:rsid w:val="00223B43"/>
    <w:pPr>
      <w:shd w:val="clear" w:color="808000" w:fill="ACB20C"/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paragraph" w:customStyle="1" w:styleId="xl71">
    <w:name w:val="xl71"/>
    <w:basedOn w:val="Standard"/>
    <w:qFormat/>
    <w:rsid w:val="00223B43"/>
    <w:pPr>
      <w:shd w:val="clear" w:color="CCFFFF" w:fill="DEE7E5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72">
    <w:name w:val="xl72"/>
    <w:basedOn w:val="Standard"/>
    <w:qFormat/>
    <w:rsid w:val="00223B43"/>
    <w:pPr>
      <w:shd w:val="clear" w:color="CCFFFF" w:fill="DEE7E5"/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paragraph" w:customStyle="1" w:styleId="xl73">
    <w:name w:val="xl73"/>
    <w:basedOn w:val="Standard"/>
    <w:qFormat/>
    <w:rsid w:val="00223B43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de-AT"/>
    </w:rPr>
  </w:style>
  <w:style w:type="paragraph" w:customStyle="1" w:styleId="xl74">
    <w:name w:val="xl74"/>
    <w:basedOn w:val="Standard"/>
    <w:qFormat/>
    <w:rsid w:val="00223B43"/>
    <w:pPr>
      <w:shd w:val="clear" w:color="FFFF00" w:fill="E6E905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75">
    <w:name w:val="xl75"/>
    <w:basedOn w:val="Standard"/>
    <w:qFormat/>
    <w:rsid w:val="00223B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Calibri" w:eastAsia="Times New Roman" w:hAnsi="Calibri" w:cs="Calibri"/>
      <w:sz w:val="18"/>
      <w:szCs w:val="18"/>
      <w:lang w:eastAsia="de-AT"/>
    </w:rPr>
  </w:style>
  <w:style w:type="paragraph" w:customStyle="1" w:styleId="xl76">
    <w:name w:val="xl76"/>
    <w:basedOn w:val="Standard"/>
    <w:qFormat/>
    <w:rsid w:val="00223B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99" w:fill="FFAA95"/>
      <w:spacing w:beforeAutospacing="1" w:afterAutospacing="1" w:line="240" w:lineRule="auto"/>
    </w:pPr>
    <w:rPr>
      <w:rFonts w:ascii="Calibri" w:eastAsia="Times New Roman" w:hAnsi="Calibri" w:cs="Calibri"/>
      <w:sz w:val="18"/>
      <w:szCs w:val="18"/>
      <w:lang w:eastAsia="de-AT"/>
    </w:rPr>
  </w:style>
  <w:style w:type="paragraph" w:customStyle="1" w:styleId="xl77">
    <w:name w:val="xl77"/>
    <w:basedOn w:val="Standard"/>
    <w:qFormat/>
    <w:rsid w:val="00223B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99" w:fill="FFAA95"/>
      <w:spacing w:beforeAutospacing="1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de-AT"/>
    </w:rPr>
  </w:style>
  <w:style w:type="paragraph" w:customStyle="1" w:styleId="xl78">
    <w:name w:val="xl78"/>
    <w:basedOn w:val="Standard"/>
    <w:qFormat/>
    <w:rsid w:val="00223B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7B3CA"/>
      <w:spacing w:beforeAutospacing="1" w:afterAutospacing="1" w:line="240" w:lineRule="auto"/>
    </w:pPr>
    <w:rPr>
      <w:rFonts w:ascii="Calibri" w:eastAsia="Times New Roman" w:hAnsi="Calibri" w:cs="Calibri"/>
      <w:sz w:val="18"/>
      <w:szCs w:val="18"/>
      <w:lang w:eastAsia="de-AT"/>
    </w:rPr>
  </w:style>
  <w:style w:type="paragraph" w:customStyle="1" w:styleId="xl79">
    <w:name w:val="xl79"/>
    <w:basedOn w:val="Standard"/>
    <w:qFormat/>
    <w:rsid w:val="00223B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7B3CA"/>
      <w:spacing w:beforeAutospacing="1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de-AT"/>
    </w:rPr>
  </w:style>
  <w:style w:type="paragraph" w:customStyle="1" w:styleId="xl80">
    <w:name w:val="xl80"/>
    <w:basedOn w:val="Standard"/>
    <w:qFormat/>
    <w:rsid w:val="00223B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00" w:fill="ACB20C"/>
      <w:spacing w:beforeAutospacing="1" w:afterAutospacing="1" w:line="240" w:lineRule="auto"/>
    </w:pPr>
    <w:rPr>
      <w:rFonts w:ascii="Calibri" w:eastAsia="Times New Roman" w:hAnsi="Calibri" w:cs="Calibri"/>
      <w:sz w:val="18"/>
      <w:szCs w:val="18"/>
      <w:lang w:eastAsia="de-AT"/>
    </w:rPr>
  </w:style>
  <w:style w:type="paragraph" w:customStyle="1" w:styleId="xl81">
    <w:name w:val="xl81"/>
    <w:basedOn w:val="Standard"/>
    <w:qFormat/>
    <w:rsid w:val="00223B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00" w:fill="ACB20C"/>
      <w:spacing w:beforeAutospacing="1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de-AT"/>
    </w:rPr>
  </w:style>
  <w:style w:type="paragraph" w:customStyle="1" w:styleId="xl82">
    <w:name w:val="xl82"/>
    <w:basedOn w:val="Standard"/>
    <w:qFormat/>
    <w:rsid w:val="00223B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DEE7E5"/>
      <w:spacing w:beforeAutospacing="1" w:afterAutospacing="1" w:line="240" w:lineRule="auto"/>
    </w:pPr>
    <w:rPr>
      <w:rFonts w:ascii="Calibri" w:eastAsia="Times New Roman" w:hAnsi="Calibri" w:cs="Calibri"/>
      <w:sz w:val="18"/>
      <w:szCs w:val="18"/>
      <w:lang w:eastAsia="de-AT"/>
    </w:rPr>
  </w:style>
  <w:style w:type="paragraph" w:customStyle="1" w:styleId="xl83">
    <w:name w:val="xl83"/>
    <w:basedOn w:val="Standard"/>
    <w:qFormat/>
    <w:rsid w:val="00223B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DEE7E5"/>
      <w:spacing w:beforeAutospacing="1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de-AT"/>
    </w:rPr>
  </w:style>
  <w:style w:type="paragraph" w:customStyle="1" w:styleId="xl84">
    <w:name w:val="xl84"/>
    <w:basedOn w:val="Standard"/>
    <w:qFormat/>
    <w:rsid w:val="00223B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Calibri" w:eastAsia="Times New Roman" w:hAnsi="Calibri" w:cs="Calibri"/>
      <w:color w:val="0000FF"/>
      <w:sz w:val="18"/>
      <w:szCs w:val="18"/>
      <w:lang w:eastAsia="de-AT"/>
    </w:rPr>
  </w:style>
  <w:style w:type="paragraph" w:customStyle="1" w:styleId="xl85">
    <w:name w:val="xl85"/>
    <w:basedOn w:val="Standard"/>
    <w:qFormat/>
    <w:rsid w:val="00223B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99" w:fill="FFAA95"/>
      <w:spacing w:beforeAutospacing="1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de-AT"/>
    </w:rPr>
  </w:style>
  <w:style w:type="paragraph" w:customStyle="1" w:styleId="xl86">
    <w:name w:val="xl86"/>
    <w:basedOn w:val="Standard"/>
    <w:qFormat/>
    <w:rsid w:val="00223B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7B3CA"/>
      <w:spacing w:beforeAutospacing="1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de-AT"/>
    </w:rPr>
  </w:style>
  <w:style w:type="paragraph" w:customStyle="1" w:styleId="xl87">
    <w:name w:val="xl87"/>
    <w:basedOn w:val="Standard"/>
    <w:qFormat/>
    <w:rsid w:val="00223B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00" w:fill="ACB20C"/>
      <w:spacing w:beforeAutospacing="1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de-AT"/>
    </w:rPr>
  </w:style>
  <w:style w:type="paragraph" w:customStyle="1" w:styleId="xl88">
    <w:name w:val="xl88"/>
    <w:basedOn w:val="Standard"/>
    <w:qFormat/>
    <w:rsid w:val="00223B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7B3CA" w:fill="B2B2B2"/>
      <w:spacing w:beforeAutospacing="1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de-AT"/>
    </w:rPr>
  </w:style>
  <w:style w:type="paragraph" w:customStyle="1" w:styleId="xl89">
    <w:name w:val="xl89"/>
    <w:basedOn w:val="Standard"/>
    <w:qFormat/>
    <w:rsid w:val="00223B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de-AT"/>
    </w:rPr>
  </w:style>
  <w:style w:type="paragraph" w:customStyle="1" w:styleId="xl90">
    <w:name w:val="xl90"/>
    <w:basedOn w:val="Standard"/>
    <w:qFormat/>
    <w:rsid w:val="00223B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DEE7E5"/>
      <w:spacing w:beforeAutospacing="1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de-AT"/>
    </w:rPr>
  </w:style>
  <w:style w:type="paragraph" w:customStyle="1" w:styleId="xl91">
    <w:name w:val="xl91"/>
    <w:basedOn w:val="Standard"/>
    <w:qFormat/>
    <w:rsid w:val="00223B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E6E905"/>
      <w:spacing w:beforeAutospacing="1" w:afterAutospacing="1" w:line="240" w:lineRule="auto"/>
    </w:pPr>
    <w:rPr>
      <w:rFonts w:ascii="Calibri" w:eastAsia="Times New Roman" w:hAnsi="Calibri" w:cs="Calibri"/>
      <w:sz w:val="18"/>
      <w:szCs w:val="18"/>
      <w:lang w:eastAsia="de-AT"/>
    </w:rPr>
  </w:style>
  <w:style w:type="paragraph" w:customStyle="1" w:styleId="xl92">
    <w:name w:val="xl92"/>
    <w:basedOn w:val="Standard"/>
    <w:qFormat/>
    <w:rsid w:val="00223B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E6E905"/>
      <w:spacing w:beforeAutospacing="1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de-AT"/>
    </w:rPr>
  </w:style>
  <w:style w:type="table" w:styleId="Tabellenraster">
    <w:name w:val="Table Grid"/>
    <w:basedOn w:val="NormaleTabelle"/>
    <w:uiPriority w:val="39"/>
    <w:rsid w:val="00D14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9E2C5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C870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5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eizhals.at/lg-oled-55cx9la-a2250889.html" TargetMode="External"/><Relationship Id="rId18" Type="http://schemas.openxmlformats.org/officeDocument/2006/relationships/hyperlink" Target="https://geizhals.at/samsung-4k-laser-projektor-lsp7t-sp-lsp7tfaxzg-a2417408.htm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arife.at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geizhals.at/lg-oled-65cx9la-a2250846.html" TargetMode="External"/><Relationship Id="rId17" Type="http://schemas.openxmlformats.org/officeDocument/2006/relationships/hyperlink" Target="https://geizhals.at/xiaomi-mijia-4k-a2254728.html" TargetMode="External"/><Relationship Id="rId25" Type="http://schemas.openxmlformats.org/officeDocument/2006/relationships/hyperlink" Target="mailto:presse@geizhals.a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eizhals.at/epson-eh-tw7000-v11h961040-a2138242.html" TargetMode="External"/><Relationship Id="rId20" Type="http://schemas.openxmlformats.org/officeDocument/2006/relationships/hyperlink" Target="https://geizhals.a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alma.mautner@reiterpr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eizhals.at/lg-oled-65c17lb-a2487078.html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geizhals.at/samsung-freestyle-lsp3-sp-lsp3blaxxe-a2661127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eizhals.at/lg-oled-65g19la-a2480284.html" TargetMode="External"/><Relationship Id="rId22" Type="http://schemas.openxmlformats.org/officeDocument/2006/relationships/hyperlink" Target="https://unternehmen.geizhals.at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21f82d1b-cdef-48b1-8008-eb8b2d0b3ba2" xsi:nil="true"/>
    <lcf76f155ced4ddcb4097134ff3c332f xmlns="21f82d1b-cdef-48b1-8008-eb8b2d0b3ba2">
      <Terms xmlns="http://schemas.microsoft.com/office/infopath/2007/PartnerControls"/>
    </lcf76f155ced4ddcb4097134ff3c332f>
    <TaxCatchAll xmlns="c7ab0dc1-0346-4d05-8900-c045d28fa2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1F30CBB9A6E4D9E8CB63B0905E579" ma:contentTypeVersion="17" ma:contentTypeDescription="Ein neues Dokument erstellen." ma:contentTypeScope="" ma:versionID="a800e270908c21c45c53423f4bcf868c">
  <xsd:schema xmlns:xsd="http://www.w3.org/2001/XMLSchema" xmlns:xs="http://www.w3.org/2001/XMLSchema" xmlns:p="http://schemas.microsoft.com/office/2006/metadata/properties" xmlns:ns2="21f82d1b-cdef-48b1-8008-eb8b2d0b3ba2" xmlns:ns3="c7ab0dc1-0346-4d05-8900-c045d28fa29e" targetNamespace="http://schemas.microsoft.com/office/2006/metadata/properties" ma:root="true" ma:fieldsID="f6b1659c672b721de4832ec9cfbfc082" ns2:_="" ns3:_="">
    <xsd:import namespace="21f82d1b-cdef-48b1-8008-eb8b2d0b3ba2"/>
    <xsd:import namespace="c7ab0dc1-0346-4d05-8900-c045d28fa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um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82d1b-cdef-48b1-8008-eb8b2d0b3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9f6f4dba-2777-4926-bc9c-f0215c6e5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b0dc1-0346-4d05-8900-c045d28fa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9eef9a-4d02-403e-acf6-2cd9818d8331}" ma:internalName="TaxCatchAll" ma:showField="CatchAllData" ma:web="c7ab0dc1-0346-4d05-8900-c045d28fa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86DAA-B334-47C9-8188-BA773AE715F1}">
  <ds:schemaRefs>
    <ds:schemaRef ds:uri="http://schemas.microsoft.com/office/2006/metadata/properties"/>
    <ds:schemaRef ds:uri="http://schemas.microsoft.com/office/infopath/2007/PartnerControls"/>
    <ds:schemaRef ds:uri="21f82d1b-cdef-48b1-8008-eb8b2d0b3ba2"/>
    <ds:schemaRef ds:uri="c7ab0dc1-0346-4d05-8900-c045d28fa29e"/>
  </ds:schemaRefs>
</ds:datastoreItem>
</file>

<file path=customXml/itemProps2.xml><?xml version="1.0" encoding="utf-8"?>
<ds:datastoreItem xmlns:ds="http://schemas.openxmlformats.org/officeDocument/2006/customXml" ds:itemID="{7B649735-13C3-471E-80E5-298C38752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8DA6F-F4C5-4638-AD05-0236D10CE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82d1b-cdef-48b1-8008-eb8b2d0b3ba2"/>
    <ds:schemaRef ds:uri="c7ab0dc1-0346-4d05-8900-c045d28fa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194E5-1A65-4E7C-9E7E-835DA6C1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Mautner</dc:creator>
  <dc:description/>
  <cp:lastModifiedBy>Sophia Seigner</cp:lastModifiedBy>
  <cp:revision>2</cp:revision>
  <dcterms:created xsi:type="dcterms:W3CDTF">2022-06-28T07:21:00Z</dcterms:created>
  <dcterms:modified xsi:type="dcterms:W3CDTF">2022-06-28T07:21:00Z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0x0101005831F30CBB9A6E4D9E8CB63B0905E579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