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568C" w14:textId="77777777" w:rsidR="007A027A" w:rsidRPr="00C236E2" w:rsidRDefault="007A027A" w:rsidP="004B2AE1">
      <w:pPr>
        <w:rPr>
          <w:b/>
          <w:u w:val="single"/>
          <w:lang w:val="en-US"/>
        </w:rPr>
      </w:pPr>
    </w:p>
    <w:p w14:paraId="104B1B3E" w14:textId="77777777" w:rsidR="008010D8" w:rsidRPr="004B2AE1" w:rsidRDefault="00DC0395" w:rsidP="004B2AE1">
      <w:pPr>
        <w:rPr>
          <w:rFonts w:asciiTheme="minorHAnsi" w:hAnsiTheme="minorHAnsi" w:cstheme="minorHAnsi"/>
          <w:b/>
          <w:sz w:val="28"/>
          <w:szCs w:val="28"/>
        </w:rPr>
      </w:pPr>
      <w:r w:rsidRPr="00DC0395">
        <w:rPr>
          <w:rFonts w:asciiTheme="minorHAnsi" w:hAnsiTheme="minorHAnsi" w:cstheme="minorHAnsi"/>
          <w:b/>
          <w:sz w:val="28"/>
          <w:szCs w:val="28"/>
        </w:rPr>
        <w:t xml:space="preserve">MEDIENINFORMATION </w:t>
      </w:r>
    </w:p>
    <w:p w14:paraId="2C60DFF5" w14:textId="77777777" w:rsidR="009E038C" w:rsidRPr="00DC0395" w:rsidRDefault="009E038C" w:rsidP="004B2AE1">
      <w:pPr>
        <w:rPr>
          <w:b/>
          <w:sz w:val="28"/>
        </w:rPr>
      </w:pPr>
    </w:p>
    <w:p w14:paraId="1B7C89F4" w14:textId="7ED8B55A" w:rsidR="009B01DE" w:rsidRDefault="009B01DE" w:rsidP="004B2AE1">
      <w:pPr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9B01DE">
        <w:rPr>
          <w:rFonts w:asciiTheme="minorHAnsi" w:hAnsiTheme="minorHAnsi" w:cstheme="minorHAnsi"/>
          <w:b/>
          <w:sz w:val="36"/>
          <w:szCs w:val="36"/>
        </w:rPr>
        <w:t>Arçelik</w:t>
      </w:r>
      <w:proofErr w:type="spellEnd"/>
      <w:r w:rsidRPr="009B01D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A312A">
        <w:rPr>
          <w:rFonts w:asciiTheme="minorHAnsi" w:hAnsiTheme="minorHAnsi" w:cstheme="minorHAnsi"/>
          <w:b/>
          <w:sz w:val="36"/>
          <w:szCs w:val="36"/>
        </w:rPr>
        <w:t>erreicht CO2-Neutralität</w:t>
      </w:r>
      <w:r w:rsidR="00BE0C62">
        <w:rPr>
          <w:rFonts w:asciiTheme="minorHAnsi" w:hAnsiTheme="minorHAnsi" w:cstheme="minorHAnsi"/>
          <w:b/>
          <w:sz w:val="36"/>
          <w:szCs w:val="36"/>
        </w:rPr>
        <w:t xml:space="preserve"> in seinen globalen Produktions</w:t>
      </w:r>
      <w:r w:rsidR="005A312A">
        <w:rPr>
          <w:rFonts w:asciiTheme="minorHAnsi" w:hAnsiTheme="minorHAnsi" w:cstheme="minorHAnsi"/>
          <w:b/>
          <w:sz w:val="36"/>
          <w:szCs w:val="36"/>
        </w:rPr>
        <w:t>stätten</w:t>
      </w:r>
      <w:r w:rsidR="00BE0C6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0BA4C3E6" w14:textId="77777777" w:rsidR="00AF715F" w:rsidRDefault="00AF715F" w:rsidP="004B2AE1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4AFC1609" w14:textId="02447B41" w:rsidR="009B01DE" w:rsidRPr="00BE0C62" w:rsidRDefault="009B01DE" w:rsidP="000B0377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2B201B">
        <w:rPr>
          <w:rFonts w:asciiTheme="minorHAnsi" w:hAnsiTheme="minorHAnsi" w:cstheme="minorHAnsi"/>
          <w:b/>
          <w:iCs/>
          <w:sz w:val="22"/>
          <w:szCs w:val="22"/>
        </w:rPr>
        <w:t>Arçelik</w:t>
      </w:r>
      <w:proofErr w:type="spellEnd"/>
      <w:r w:rsidR="002B201B" w:rsidRPr="002B201B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Pr="002B20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B201B" w:rsidRPr="002B201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Muttergesellschaft von 12 führenden Haushaltsgeräte-Marken, darunter zwei der größten in Europa, </w:t>
      </w:r>
      <w:proofErr w:type="spellStart"/>
      <w:r w:rsidR="002B201B" w:rsidRPr="002B201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Beko</w:t>
      </w:r>
      <w:proofErr w:type="spellEnd"/>
      <w:r w:rsidR="002B201B" w:rsidRPr="002B201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und Grundig, sowie </w:t>
      </w:r>
      <w:proofErr w:type="spellStart"/>
      <w:r w:rsidR="002B201B" w:rsidRPr="002B201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elektrabregenz</w:t>
      </w:r>
      <w:proofErr w:type="spellEnd"/>
      <w:r w:rsidR="00AF715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ED6E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und </w:t>
      </w:r>
      <w:r w:rsidR="000B03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eines der führenden </w:t>
      </w:r>
      <w:r w:rsidR="00BE0C6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Unternehmen </w:t>
      </w:r>
      <w:r w:rsidR="0071091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auf dem Gebiet der </w:t>
      </w:r>
      <w:r w:rsidR="00ED6E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Nachhaltigkeit</w:t>
      </w:r>
      <w:r w:rsidR="00BE0C6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</w:t>
      </w:r>
      <w:r w:rsidR="00BE0C62" w:rsidRPr="00BE0C6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5A31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ist es gelungen</w:t>
      </w:r>
      <w:r w:rsidR="000B0377" w:rsidRPr="000B03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mit eigenen Emissions</w:t>
      </w:r>
      <w:r w:rsidR="005A31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gutschrifte</w:t>
      </w:r>
      <w:r w:rsidR="0071091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</w:t>
      </w:r>
      <w:r w:rsidR="005A31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die Klimaneutralität</w:t>
      </w:r>
      <w:r w:rsidR="000B0377" w:rsidRPr="000B03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in der globalen Produktion </w:t>
      </w:r>
      <w:r w:rsidR="005A31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zu erreichen</w:t>
      </w:r>
      <w:r w:rsidR="000B03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</w:t>
      </w:r>
      <w:r w:rsidR="00BE0C6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Damit hat </w:t>
      </w:r>
      <w:proofErr w:type="spellStart"/>
      <w:r w:rsidR="00BE0C62" w:rsidRPr="002B201B">
        <w:rPr>
          <w:rFonts w:asciiTheme="minorHAnsi" w:hAnsiTheme="minorHAnsi" w:cstheme="minorHAnsi"/>
          <w:b/>
          <w:iCs/>
          <w:sz w:val="22"/>
          <w:szCs w:val="22"/>
        </w:rPr>
        <w:t>Arçelik</w:t>
      </w:r>
      <w:proofErr w:type="spellEnd"/>
      <w:r w:rsidR="00BE0C62" w:rsidRPr="00BE0C6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einen weiteren wichtigen Schritt im Kampf gegen die Klimakrise </w:t>
      </w:r>
      <w:r w:rsidR="005A31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getan.</w:t>
      </w:r>
    </w:p>
    <w:p w14:paraId="78866945" w14:textId="77777777" w:rsidR="005A312A" w:rsidRPr="00AF715F" w:rsidRDefault="005A312A" w:rsidP="004B2AE1">
      <w:pPr>
        <w:rPr>
          <w:rFonts w:asciiTheme="minorHAnsi" w:eastAsiaTheme="minorHAnsi" w:hAnsiTheme="minorHAnsi" w:cstheme="minorBidi"/>
          <w:b/>
          <w:i/>
          <w:szCs w:val="22"/>
          <w:lang w:eastAsia="en-US"/>
        </w:rPr>
      </w:pPr>
    </w:p>
    <w:p w14:paraId="530CD195" w14:textId="1A2426DE" w:rsidR="005A312A" w:rsidRPr="005A312A" w:rsidRDefault="009B01DE" w:rsidP="005A312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01D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Istanbul / </w:t>
      </w:r>
      <w:r w:rsidR="00945351" w:rsidRPr="009B01D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Wien</w:t>
      </w:r>
      <w:r w:rsidR="005368AA" w:rsidRPr="009B01D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  <w:r w:rsidR="000E2AF6" w:rsidRPr="009B01D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BE0C6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22. September</w:t>
      </w:r>
      <w:r w:rsidRPr="009B01D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09420C" w:rsidRPr="009B01D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20</w:t>
      </w:r>
      <w:r w:rsidR="00E212EF" w:rsidRPr="009B01D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20</w:t>
      </w:r>
      <w:r w:rsid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EA79C9" w:rsidRPr="00BB21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BE0C62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="002B5D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ist</w:t>
      </w:r>
      <w:r w:rsidR="00BE0C62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mit seiner Vision </w:t>
      </w:r>
      <w:r w:rsid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proofErr w:type="spellStart"/>
      <w:r w:rsidR="00BE0C62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Respecting</w:t>
      </w:r>
      <w:proofErr w:type="spellEnd"/>
      <w:r w:rsidR="00BE0C62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BE0C62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="00BE0C62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World, </w:t>
      </w:r>
      <w:proofErr w:type="spellStart"/>
      <w:r w:rsidR="00BE0C62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Respected</w:t>
      </w:r>
      <w:proofErr w:type="spellEnd"/>
      <w:r w:rsidR="00BE0C62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Worldwide</w:t>
      </w:r>
      <w:r w:rsid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="00BE0C62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fast 150 Ländern tätig. </w:t>
      </w:r>
      <w:r w:rsidR="005A312A" w:rsidRPr="005A31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Mit der Entwicklung klimafreundlicher, ressourcenschonender und für alle zugängliche Produkte – im Einklang mit den Zielen der Vereinten Nationen für eine nachhaltige Entwicklung (Agenda 2030) – erreicht </w:t>
      </w:r>
      <w:proofErr w:type="spellStart"/>
      <w:r w:rsidR="005A312A" w:rsidRPr="005A312A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="005A312A" w:rsidRPr="005A31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einen wesentlichen Meilenstein in seinen Nachhaltigkeitsbemühungen.</w:t>
      </w:r>
    </w:p>
    <w:p w14:paraId="288AFF13" w14:textId="77777777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68385E" w14:textId="59396E06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 Rahmen </w:t>
      </w:r>
      <w:r w:rsidR="005A312A">
        <w:rPr>
          <w:rFonts w:asciiTheme="minorHAnsi" w:eastAsiaTheme="minorHAnsi" w:hAnsiTheme="minorHAnsi" w:cstheme="minorBidi"/>
          <w:sz w:val="22"/>
          <w:szCs w:val="22"/>
          <w:lang w:eastAsia="en-US"/>
        </w:rPr>
        <w:t>unseres CO2-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Finanzierungsprojekts für energieeffiziente Kühlschränke in der Türkei haben wir das Recht auf 305.407 Tonnen CO2e-Emissionsreduktionen zwischen 2013 und 2018 erhalten. Mit dieser </w:t>
      </w:r>
      <w:r w:rsidR="00E102E0">
        <w:rPr>
          <w:rFonts w:asciiTheme="minorHAnsi" w:eastAsiaTheme="minorHAnsi" w:hAnsiTheme="minorHAnsi" w:cstheme="minorBidi"/>
          <w:sz w:val="22"/>
          <w:szCs w:val="22"/>
          <w:lang w:eastAsia="en-US"/>
        </w:rPr>
        <w:t>CO2-G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utschrift, die wir durch die Einführung innovativer Kühlschränke mit hohem Energieeffizienzniveau auf dem türkischen Markt erhalten haben, haben wir einen </w:t>
      </w:r>
      <w:r w:rsidR="00E102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bedeutenden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Wechsel vom '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business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as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usual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' zu einer neuen Technologie erreicht</w:t>
      </w:r>
      <w:r w:rsidR="00E102E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102E0">
        <w:rPr>
          <w:rFonts w:asciiTheme="minorHAnsi" w:eastAsiaTheme="minorHAnsi" w:hAnsiTheme="minorHAnsi" w:cstheme="minorBidi"/>
          <w:sz w:val="22"/>
          <w:szCs w:val="22"/>
          <w:lang w:eastAsia="en-US"/>
        </w:rPr>
        <w:t>Daher werden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unsere globalen Produktionsstätten</w:t>
      </w:r>
      <w:r w:rsidR="002B5D7F">
        <w:rPr>
          <w:rStyle w:val="Funotenzeichen"/>
          <w:rFonts w:asciiTheme="minorHAnsi" w:eastAsiaTheme="minorHAnsi" w:hAnsiTheme="minorHAnsi" w:cstheme="minorBidi"/>
          <w:sz w:val="22"/>
          <w:szCs w:val="22"/>
          <w:lang w:eastAsia="en-US"/>
        </w:rPr>
        <w:footnoteReference w:id="1"/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den Geschäftsjahren 2019 und 2020 </w:t>
      </w:r>
      <w:r w:rsidR="00E102E0">
        <w:rPr>
          <w:rFonts w:asciiTheme="minorHAnsi" w:eastAsiaTheme="minorHAnsi" w:hAnsiTheme="minorHAnsi" w:cstheme="minorBidi"/>
          <w:sz w:val="22"/>
          <w:szCs w:val="22"/>
          <w:lang w:eastAsia="en-US"/>
        </w:rPr>
        <w:t>klima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neutral. Nachhaltigkeit </w:t>
      </w:r>
      <w:r w:rsidR="00E102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ist für uns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sowohl ein Mu</w:t>
      </w:r>
      <w:r w:rsidR="002B5D7F">
        <w:rPr>
          <w:rFonts w:asciiTheme="minorHAnsi" w:eastAsiaTheme="minorHAnsi" w:hAnsiTheme="minorHAnsi" w:cstheme="minorBidi"/>
          <w:sz w:val="22"/>
          <w:szCs w:val="22"/>
          <w:lang w:eastAsia="en-US"/>
        </w:rPr>
        <w:t>ss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für die Zukunft der Menschheit als auch ein profitables Geschäftsmodell</w:t>
      </w:r>
      <w:r w:rsidR="002B5D7F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sagt Hakan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Bulgurlu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CEO von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A501AC6" w14:textId="77777777" w:rsidR="005A312A" w:rsidRPr="00BE0C62" w:rsidRDefault="005A312A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B52E13" w14:textId="66411B85" w:rsidR="005A312A" w:rsidRPr="005A312A" w:rsidRDefault="00BE0C62" w:rsidP="00BE0C62"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Das </w:t>
      </w:r>
      <w:r w:rsidR="002B5D7F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Carbon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Financing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Project</w:t>
      </w:r>
      <w:r w:rsidR="002B5D7F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wurde von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unter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Beratung von GAIA Carbon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Finance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im Jahr 2013 initiiert. Die 305.407 Tonnen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CO2-G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utschriften, die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durch das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CO2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-Finanzierungsprojekt erh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alten hat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wurden von einer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externen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Verifizierungsfirma RINA in Übereinstimmung mit dem verifizierten Kohlenstoffstandard </w:t>
      </w:r>
      <w:r w:rsidR="005A312A">
        <w:rPr>
          <w:rFonts w:asciiTheme="minorHAnsi" w:eastAsiaTheme="minorHAnsi" w:hAnsiTheme="minorHAnsi" w:cstheme="minorBidi"/>
          <w:sz w:val="22"/>
          <w:szCs w:val="22"/>
          <w:lang w:eastAsia="en-US"/>
        </w:rPr>
        <w:t>geprüft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. Das Unternehmen wird diese Gutschrift verwenden, um seine direkten und indirekten T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reibhausgas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-Emissionen (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Scope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und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Scope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2) auszugleichen, die in den globalen Produktionsstätten im Jahr 2019</w:t>
      </w:r>
      <w:r w:rsidR="002B5D7F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(verifiziert durch eine unabhängige Drittpartei, BSI Group) und im Jahr 2020 erzeugt werden</w:t>
      </w:r>
      <w:r w:rsidR="0082748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27485">
        <w:rPr>
          <w:rFonts w:asciiTheme="minorHAnsi" w:eastAsiaTheme="minorHAnsi" w:hAnsiTheme="minorHAnsi" w:cstheme="minorBidi"/>
          <w:sz w:val="22"/>
          <w:szCs w:val="22"/>
          <w:lang w:eastAsia="en-US"/>
        </w:rPr>
        <w:t>Somit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274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wird das Unternehmen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den Geschäftsjahren 2019 und 2020 in den globalen Produktionsstätten klimaneutral, ohne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Erwerb eines CO2-Ausgleichskredits gemäß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A31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der internationalen Spezifikation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PAS 2060</w:t>
      </w:r>
      <w:r w:rsidR="005A31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die von </w:t>
      </w:r>
      <w:proofErr w:type="spellStart"/>
      <w:r w:rsidR="005A312A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="005A31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selbst validiert wurde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01DCA818" w14:textId="77777777" w:rsidR="005A312A" w:rsidRDefault="005A312A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07ABE6" w14:textId="56C3D345" w:rsid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Durch eine langfristige k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lima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neutrale Strategie in Übereinstimmung mit der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Science-</w:t>
      </w:r>
      <w:proofErr w:type="spellStart"/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Based</w:t>
      </w:r>
      <w:proofErr w:type="spellEnd"/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Targets Initiative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SBTi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plant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das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CO2-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Finanzierungsprojekt für weitere </w:t>
      </w:r>
      <w:r w:rsidR="002B5D7F">
        <w:rPr>
          <w:rFonts w:asciiTheme="minorHAnsi" w:eastAsiaTheme="minorHAnsi" w:hAnsiTheme="minorHAnsi" w:cstheme="minorBidi"/>
          <w:sz w:val="22"/>
          <w:szCs w:val="22"/>
          <w:lang w:eastAsia="en-US"/>
        </w:rPr>
        <w:t>vier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Jahre fortzusetzen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1082A" w:rsidRPr="005A312A">
        <w:rPr>
          <w:rFonts w:asciiTheme="minorHAnsi" w:eastAsiaTheme="minorHAnsi" w:hAnsiTheme="minorHAnsi" w:cstheme="minorBidi"/>
          <w:sz w:val="22"/>
          <w:szCs w:val="22"/>
          <w:lang w:eastAsia="en-US"/>
        </w:rPr>
        <w:t>Investitionen in erneuerbare Energien und die Verifizierung seiner Maßnahmen in den firmeneigenen Recycling-Anlagen für Elektro- und Elektronik-Altgeräte (WEEE), durch die sich das Unternehmen in seinem Sektor differenziert, sollen zur Reduzierung der Treibhausgasemissionen beitragen.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Nachdem sich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2017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dem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SBTi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verpflichtet hat, setzt das Unternehmen seine Bemühungen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fort, seine</w:t>
      </w:r>
      <w:r w:rsidR="005929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globalen 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Emissionsreduktionsziele 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für </w:t>
      </w:r>
      <w:proofErr w:type="spellStart"/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>Scope</w:t>
      </w:r>
      <w:proofErr w:type="spellEnd"/>
      <w:r w:rsidR="0074132F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1-2-3</w:t>
      </w:r>
      <w:r w:rsidR="00741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festzulegen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 </w:t>
      </w:r>
    </w:p>
    <w:p w14:paraId="55DD86FE" w14:textId="77777777" w:rsidR="005A312A" w:rsidRDefault="005A312A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71F416" w14:textId="2595FCEE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Im Einklang mit seiner langfristigen Nachhaltigkeitsstrategie hat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seine Ziele für 2030 in seinem </w:t>
      </w:r>
      <w:hyperlink r:id="rId10" w:history="1">
        <w:r w:rsidRPr="005929FD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12.</w:t>
        </w:r>
        <w:r w:rsidR="005929FD" w:rsidRPr="005929FD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Nachhaltigkeitsbericht</w:t>
        </w:r>
      </w:hyperlink>
      <w:r w:rsidR="005929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>veröffentlicht</w:t>
      </w:r>
      <w:r w:rsidR="005929F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Bulgurlu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929FD">
        <w:rPr>
          <w:rFonts w:asciiTheme="minorHAnsi" w:eastAsiaTheme="minorHAnsi" w:hAnsiTheme="minorHAnsi" w:cstheme="minorBidi"/>
          <w:sz w:val="22"/>
          <w:szCs w:val="22"/>
          <w:lang w:eastAsia="en-US"/>
        </w:rPr>
        <w:t>dazu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5929FD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Mit unserer Vision "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Respecting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the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World,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Respected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Worldwide" planen wir in den kommenden Jahren eine zusätzliche Investition von 50 Millionen Dollar in erneuerbare Energien und Energieeffizienz für die Zukunft unseres Planeten.</w:t>
      </w:r>
      <w:r w:rsidR="005929FD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</w:p>
    <w:p w14:paraId="4FADBB85" w14:textId="77777777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FFBAC0" w14:textId="1015B893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Zur Bewältigung der Klimakrise und zur Aufrechterhaltung der 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>CO2-N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eutralität wird sich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auf die folgenden 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>Maßnahmen</w:t>
      </w: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konzentrieren: </w:t>
      </w:r>
    </w:p>
    <w:p w14:paraId="2BAC44FF" w14:textId="77777777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DFBE09" w14:textId="7E2A7C3A" w:rsidR="00BE0C62" w:rsidRPr="009860BE" w:rsidRDefault="00BE0C62" w:rsidP="009860BE">
      <w:pPr>
        <w:pStyle w:val="Listenabsatz"/>
        <w:numPr>
          <w:ilvl w:val="0"/>
          <w:numId w:val="1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Investitionen in erneuerbare Energiesysteme an den eigenen Produktionsstandorten </w:t>
      </w:r>
    </w:p>
    <w:p w14:paraId="448A191D" w14:textId="7D416259" w:rsidR="00BE0C62" w:rsidRPr="009860BE" w:rsidRDefault="009860BE" w:rsidP="009860BE">
      <w:pPr>
        <w:pStyle w:val="Listenabsatz"/>
        <w:numPr>
          <w:ilvl w:val="1"/>
          <w:numId w:val="1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Ziel 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>für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>2030: Einrichtung von 15 MW an erneuerbaren Energiesystemen</w:t>
      </w:r>
    </w:p>
    <w:p w14:paraId="00F25012" w14:textId="602E891F" w:rsidR="00BE0C62" w:rsidRPr="009860BE" w:rsidRDefault="0081082A" w:rsidP="009860BE">
      <w:pPr>
        <w:pStyle w:val="Listenabsatz"/>
        <w:numPr>
          <w:ilvl w:val="0"/>
          <w:numId w:val="1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kauf von Elektrizität aus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nachweislich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erneuerbaren Quellen </w:t>
      </w:r>
    </w:p>
    <w:p w14:paraId="6AF6708B" w14:textId="33C81B65" w:rsidR="00BE0C62" w:rsidRPr="009860BE" w:rsidRDefault="00BE0C62" w:rsidP="009860BE">
      <w:pPr>
        <w:pStyle w:val="Listenabsatz"/>
        <w:numPr>
          <w:ilvl w:val="1"/>
          <w:numId w:val="1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>Im Jahr 2019 wurde</w:t>
      </w:r>
      <w:r w:rsid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</w:t>
      </w:r>
      <w:r w:rsid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den Anlagen in</w:t>
      </w:r>
      <w:r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der Türkei und Rumänien 100 % des Stroms aus 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>nachweislich</w:t>
      </w:r>
      <w:r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erneuerbaren Quellen bezogen.</w:t>
      </w:r>
    </w:p>
    <w:p w14:paraId="0B487292" w14:textId="6949FA00" w:rsidR="00BE0C62" w:rsidRPr="009860BE" w:rsidRDefault="009860BE" w:rsidP="009860BE">
      <w:pPr>
        <w:pStyle w:val="Listenabsatz"/>
        <w:numPr>
          <w:ilvl w:val="1"/>
          <w:numId w:val="1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Ziel 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>für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2030: 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>Kauf von 100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% des Stroms aus 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>nachweislich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erneuerbaren Quellen in globalen Produktionsanlagen, sofern der Markt dies zulässt.</w:t>
      </w:r>
    </w:p>
    <w:p w14:paraId="7560039B" w14:textId="6A3E0D68" w:rsidR="00BE0C62" w:rsidRPr="009860BE" w:rsidRDefault="00BE0C62" w:rsidP="009860BE">
      <w:pPr>
        <w:pStyle w:val="Listenabsatz"/>
        <w:numPr>
          <w:ilvl w:val="0"/>
          <w:numId w:val="1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>Investitionen in Energieeffizienzprojekte in der Produktion</w:t>
      </w:r>
    </w:p>
    <w:p w14:paraId="7F7756D4" w14:textId="7ED8D55C" w:rsidR="00BE0C62" w:rsidRPr="009860BE" w:rsidRDefault="009860BE" w:rsidP="009860BE">
      <w:pPr>
        <w:pStyle w:val="Listenabsatz"/>
        <w:numPr>
          <w:ilvl w:val="1"/>
          <w:numId w:val="1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Ziel </w:t>
      </w:r>
      <w:r w:rsidR="0081082A">
        <w:rPr>
          <w:rFonts w:asciiTheme="minorHAnsi" w:eastAsiaTheme="minorHAnsi" w:hAnsiTheme="minorHAnsi" w:cstheme="minorBidi"/>
          <w:sz w:val="22"/>
          <w:szCs w:val="22"/>
          <w:lang w:eastAsia="en-US"/>
        </w:rPr>
        <w:t>für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2030: 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>Senkung des Energieverbrauchs in der Fertigung</w:t>
      </w:r>
      <w:r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 Produkt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um 45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>% (im Vergleich zum Basisjahr 2015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E0C62" w:rsidRP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den Betrieben in Südafrika, Russland, Türkei, Rumänien, China, Thailand und Pakistan) </w:t>
      </w:r>
    </w:p>
    <w:p w14:paraId="204AF73B" w14:textId="77777777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E4554B" w14:textId="09AC283D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Weitere Informationen über die Erklärung von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zu den klimabezogenen Risiken und Chancen finden Sie im </w:t>
      </w:r>
      <w:hyperlink r:id="rId11" w:history="1">
        <w:r w:rsidRPr="00AC761C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Nachhaltigkeitsbericht 2019</w:t>
        </w:r>
      </w:hyperlink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DA8EC52" w14:textId="77777777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E2A34F" w14:textId="4DD36081" w:rsidR="00BE0C62" w:rsidRPr="00AC761C" w:rsidRDefault="00BE0C62" w:rsidP="00BE0C62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C76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Anmerkung </w:t>
      </w:r>
      <w:r w:rsidR="009860BE" w:rsidRPr="00AC76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für die Redaktionen</w:t>
      </w:r>
    </w:p>
    <w:p w14:paraId="58A01432" w14:textId="6A736CCA" w:rsidR="00BE0C62" w:rsidRPr="00BE0C62" w:rsidRDefault="00BE0C62" w:rsidP="00BE0C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84% der gesamten THG-Emissionen, die von den globalen Anlagen von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erzeugt werden, wurden 2019 von BSI, einer unabhängigen dritten Partei, verifiziert. Die THG-Emissionen der Produktionsanlagen in der Türkei, Rumänien (Kühlschrankproduktion), Russland, China und Südafrika (</w:t>
      </w:r>
      <w:r w:rsidR="00AC76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mit Ausnahme von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Wilsonia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) wurden 2019 von einer unabhängigen dritten Partei zertifiziert. Die THG-Emissionen aus Südafrika-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Wilsoni</w:t>
      </w:r>
      <w:r w:rsidR="009860BE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Thailand, Pakistan und Rumänien (Waschmaschinenproduktion) wurden nicht von einer unabhängigen Drittpartei verifiziert, und die Daten basieren auf Erklärungen von </w:t>
      </w:r>
      <w:proofErr w:type="spellStart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Arçelik</w:t>
      </w:r>
      <w:proofErr w:type="spellEnd"/>
      <w:r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5EF435E" w14:textId="5E40EFC5" w:rsidR="00BE0C62" w:rsidRDefault="00BE0C62" w:rsidP="004B2AE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411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662"/>
        <w:gridCol w:w="1015"/>
        <w:gridCol w:w="662"/>
        <w:gridCol w:w="662"/>
        <w:gridCol w:w="662"/>
        <w:gridCol w:w="709"/>
        <w:gridCol w:w="692"/>
        <w:gridCol w:w="662"/>
        <w:gridCol w:w="766"/>
        <w:gridCol w:w="705"/>
        <w:gridCol w:w="667"/>
      </w:tblGrid>
      <w:tr w:rsidR="009860BE" w:rsidRPr="00F43E0D" w14:paraId="147E0DF4" w14:textId="77777777" w:rsidTr="00637BD2">
        <w:trPr>
          <w:trHeight w:val="343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46CEA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FFFFFF"/>
                <w:lang w:val="en-GB"/>
              </w:rPr>
              <w:t>2019</w:t>
            </w:r>
          </w:p>
        </w:tc>
        <w:tc>
          <w:tcPr>
            <w:tcW w:w="4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329D8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FFFFFF"/>
                <w:lang w:val="en-GB"/>
              </w:rPr>
              <w:t>Third Party Verified Emissions</w:t>
            </w:r>
          </w:p>
        </w:tc>
        <w:tc>
          <w:tcPr>
            <w:tcW w:w="2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4591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91F55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FFFFFF"/>
                <w:lang w:val="en-GB"/>
              </w:rPr>
              <w:t>Emissions not Verified</w:t>
            </w:r>
          </w:p>
        </w:tc>
        <w:tc>
          <w:tcPr>
            <w:tcW w:w="6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3CDE2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Total</w:t>
            </w:r>
          </w:p>
        </w:tc>
      </w:tr>
      <w:tr w:rsidR="009860BE" w:rsidRPr="00F43E0D" w14:paraId="483FB93B" w14:textId="77777777" w:rsidTr="00637BD2">
        <w:trPr>
          <w:trHeight w:val="68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9FB9E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GHG Emissions [ton CO2e]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6BC29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Arçelik</w:t>
            </w:r>
            <w:proofErr w:type="spellEnd"/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 xml:space="preserve"> TR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D299D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Arctic Romania (Refrigerator)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25922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Beko LLC Russia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232CF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Beko China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417A7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Jacobs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C1D17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Ezakheni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4B068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Wilsonia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05056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Beko Thai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6C2D0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Dawlance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A205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  <w:t>Arctic Romania WM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06858" w14:textId="77777777" w:rsidR="009860BE" w:rsidRPr="00F43E0D" w:rsidRDefault="009860BE" w:rsidP="00637BD2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</w:tr>
      <w:tr w:rsidR="009860BE" w:rsidRPr="00F43E0D" w14:paraId="0901ECA7" w14:textId="77777777" w:rsidTr="00637BD2">
        <w:trPr>
          <w:trHeight w:val="343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1EE4A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Direct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F6F43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47.900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C4A24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8.257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4F0AA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9.049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17C56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911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B99CD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2.172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82DE7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836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5EE5B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5E110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283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81201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9.509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79F7B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1.105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E19D6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80.162</w:t>
            </w:r>
          </w:p>
        </w:tc>
      </w:tr>
      <w:tr w:rsidR="009860BE" w:rsidRPr="00F43E0D" w14:paraId="13B7B450" w14:textId="77777777" w:rsidTr="00637BD2">
        <w:trPr>
          <w:trHeight w:val="343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08834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Indirect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5FBF3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F5094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2F331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7.654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865D6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4.332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77DB6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13.405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E8715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12.485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113E9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2.093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59EF9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4.232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07B52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1.090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7A97F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color w:val="305496"/>
                <w:sz w:val="16"/>
                <w:szCs w:val="16"/>
                <w:lang w:val="en-GB"/>
              </w:rPr>
              <w:t>1.567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E2328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46.859</w:t>
            </w:r>
          </w:p>
        </w:tc>
      </w:tr>
      <w:tr w:rsidR="009860BE" w:rsidRPr="00F43E0D" w14:paraId="7FB05633" w14:textId="77777777" w:rsidTr="00637BD2">
        <w:trPr>
          <w:trHeight w:val="35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D216E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82D90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47.900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8B46C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8.257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E552C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16.703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64CD4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5.243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E44AB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15.577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D444B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13.321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1A192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2.234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06450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4.516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517B9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10.599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BD2B2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2.672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EE33C" w14:textId="77777777" w:rsidR="009860BE" w:rsidRPr="00F43E0D" w:rsidRDefault="009860BE" w:rsidP="00637BD2">
            <w:pPr>
              <w:jc w:val="center"/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</w:pPr>
            <w:r w:rsidRPr="00F43E0D">
              <w:rPr>
                <w:rFonts w:asciiTheme="majorHAnsi" w:hAnsiTheme="majorHAnsi" w:cstheme="majorHAnsi"/>
                <w:b/>
                <w:bCs/>
                <w:color w:val="305496"/>
                <w:sz w:val="16"/>
                <w:szCs w:val="16"/>
                <w:lang w:val="en-GB"/>
              </w:rPr>
              <w:t>127.021</w:t>
            </w:r>
          </w:p>
        </w:tc>
      </w:tr>
    </w:tbl>
    <w:p w14:paraId="06E121E7" w14:textId="77777777" w:rsidR="00DA7A90" w:rsidRPr="00ED6EDC" w:rsidRDefault="00DA7A90" w:rsidP="004B2AE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DE5285" w14:textId="606139C9" w:rsidR="002D7E4F" w:rsidRDefault="00E957A7" w:rsidP="004B2AE1">
      <w:pPr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</w:pPr>
      <w:r w:rsidRPr="00A4669B">
        <w:rPr>
          <w:rFonts w:asciiTheme="minorHAnsi" w:eastAsiaTheme="minorHAnsi" w:hAnsiTheme="minorHAnsi" w:cstheme="minorHAnsi"/>
          <w:color w:val="373737"/>
          <w:sz w:val="22"/>
          <w:szCs w:val="22"/>
          <w:u w:val="single"/>
          <w:lang w:eastAsia="en-US"/>
        </w:rPr>
        <w:t>Foto</w:t>
      </w:r>
      <w:r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 xml:space="preserve">: </w:t>
      </w:r>
      <w:r w:rsidR="004B2AE1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 xml:space="preserve">Hakan </w:t>
      </w:r>
      <w:proofErr w:type="spellStart"/>
      <w:r w:rsidR="004B2AE1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>Bulgurlu</w:t>
      </w:r>
      <w:proofErr w:type="spellEnd"/>
      <w:r w:rsidR="004B2AE1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 xml:space="preserve">, CEO von </w:t>
      </w:r>
      <w:proofErr w:type="spellStart"/>
      <w:r w:rsidR="004B2AE1" w:rsidRPr="008D0BF7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>Arçelik</w:t>
      </w:r>
      <w:proofErr w:type="spellEnd"/>
    </w:p>
    <w:p w14:paraId="0CF2D101" w14:textId="720FA40C" w:rsidR="00365EF6" w:rsidRDefault="00365EF6" w:rsidP="004B2AE1">
      <w:pPr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</w:pPr>
      <w:proofErr w:type="spellStart"/>
      <w:r w:rsidRPr="008D0BF7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>Arçelik</w:t>
      </w:r>
      <w:proofErr w:type="spellEnd"/>
      <w:r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 xml:space="preserve"> wird in seinen Produktionsstätten </w:t>
      </w:r>
      <w:r w:rsidR="0081082A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>klima</w:t>
      </w:r>
      <w:r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>neutral</w:t>
      </w:r>
    </w:p>
    <w:p w14:paraId="3D106340" w14:textId="77777777" w:rsidR="00A4669B" w:rsidRPr="00A4669B" w:rsidRDefault="00A4669B" w:rsidP="004B2AE1">
      <w:pPr>
        <w:outlineLvl w:val="0"/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</w:pPr>
      <w:proofErr w:type="spellStart"/>
      <w:r w:rsidRPr="00A4669B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>Fotocredit</w:t>
      </w:r>
      <w:proofErr w:type="spellEnd"/>
      <w:r w:rsidRPr="00A4669B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 xml:space="preserve">: </w:t>
      </w:r>
      <w:proofErr w:type="spellStart"/>
      <w:r w:rsidRPr="008D0BF7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>Arçelik</w:t>
      </w:r>
      <w:proofErr w:type="spellEnd"/>
      <w:r w:rsidRPr="00A4669B">
        <w:rPr>
          <w:rFonts w:asciiTheme="minorHAnsi" w:eastAsiaTheme="minorHAnsi" w:hAnsiTheme="minorHAnsi" w:cstheme="minorHAnsi"/>
          <w:color w:val="373737"/>
          <w:sz w:val="22"/>
          <w:szCs w:val="22"/>
          <w:lang w:eastAsia="en-US"/>
        </w:rPr>
        <w:t xml:space="preserve"> /Elektra Bregenz AG, Abdruck honorarfrei</w:t>
      </w:r>
    </w:p>
    <w:p w14:paraId="38BC6B29" w14:textId="77777777" w:rsidR="00E957A7" w:rsidRPr="00B35FBC" w:rsidRDefault="00E957A7" w:rsidP="004B2AE1">
      <w:pPr>
        <w:rPr>
          <w:rFonts w:asciiTheme="minorHAnsi" w:eastAsiaTheme="minorHAnsi" w:hAnsiTheme="minorHAnsi" w:cstheme="minorBidi"/>
          <w:lang w:eastAsia="en-US"/>
        </w:rPr>
      </w:pPr>
    </w:p>
    <w:p w14:paraId="400B3773" w14:textId="197ADF69" w:rsidR="009B01DE" w:rsidRDefault="008D0BF7" w:rsidP="004B2AE1">
      <w:pPr>
        <w:pStyle w:val="StandardWeb"/>
        <w:shd w:val="clear" w:color="auto" w:fill="FFFFFF"/>
        <w:rPr>
          <w:rFonts w:asciiTheme="minorHAnsi" w:hAnsiTheme="minorHAnsi" w:cstheme="minorHAnsi"/>
          <w:color w:val="373737"/>
          <w:sz w:val="22"/>
          <w:szCs w:val="22"/>
        </w:rPr>
      </w:pPr>
      <w:r w:rsidRPr="000F5DDB">
        <w:rPr>
          <w:rFonts w:asciiTheme="minorHAnsi" w:hAnsiTheme="minorHAnsi" w:cstheme="minorHAnsi"/>
          <w:b/>
          <w:bCs/>
          <w:color w:val="373737"/>
          <w:sz w:val="22"/>
          <w:szCs w:val="22"/>
        </w:rPr>
        <w:t xml:space="preserve">ÜBER </w:t>
      </w:r>
      <w:r w:rsidR="00AD250A" w:rsidRPr="000F5DDB">
        <w:rPr>
          <w:rFonts w:asciiTheme="minorHAnsi" w:hAnsiTheme="minorHAnsi" w:cstheme="minorHAnsi"/>
          <w:b/>
          <w:bCs/>
          <w:color w:val="373737"/>
          <w:sz w:val="22"/>
          <w:szCs w:val="22"/>
        </w:rPr>
        <w:t>ARÇELİK </w:t>
      </w:r>
    </w:p>
    <w:p w14:paraId="72DEFC74" w14:textId="39E4C2A4" w:rsidR="00365EF6" w:rsidRPr="00365EF6" w:rsidRDefault="00365EF6" w:rsidP="00365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373737"/>
          <w:sz w:val="22"/>
          <w:szCs w:val="22"/>
        </w:rPr>
      </w:pPr>
      <w:r w:rsidRPr="00365EF6">
        <w:rPr>
          <w:rFonts w:asciiTheme="minorHAnsi" w:hAnsiTheme="minorHAnsi" w:cstheme="minorHAnsi"/>
          <w:color w:val="373737"/>
          <w:sz w:val="22"/>
          <w:szCs w:val="22"/>
        </w:rPr>
        <w:t>Mit über 30.000 Mitarbeitern weltweit, 12 Marken (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Arçelik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,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Beko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, Grundig, Blomberg, </w:t>
      </w:r>
      <w:proofErr w:type="spellStart"/>
      <w:r>
        <w:rPr>
          <w:rFonts w:asciiTheme="minorHAnsi" w:hAnsiTheme="minorHAnsi" w:cstheme="minorHAnsi"/>
          <w:color w:val="373737"/>
          <w:sz w:val="22"/>
          <w:szCs w:val="22"/>
        </w:rPr>
        <w:t>e</w:t>
      </w:r>
      <w:r w:rsidRPr="00365EF6">
        <w:rPr>
          <w:rFonts w:asciiTheme="minorHAnsi" w:hAnsiTheme="minorHAnsi" w:cstheme="minorHAnsi"/>
          <w:color w:val="373737"/>
          <w:sz w:val="22"/>
          <w:szCs w:val="22"/>
        </w:rPr>
        <w:t>lektra</w:t>
      </w:r>
      <w:r>
        <w:rPr>
          <w:rFonts w:asciiTheme="minorHAnsi" w:hAnsiTheme="minorHAnsi" w:cstheme="minorHAnsi"/>
          <w:color w:val="373737"/>
          <w:sz w:val="22"/>
          <w:szCs w:val="22"/>
        </w:rPr>
        <w:t>b</w:t>
      </w:r>
      <w:r w:rsidRPr="00365EF6">
        <w:rPr>
          <w:rFonts w:asciiTheme="minorHAnsi" w:hAnsiTheme="minorHAnsi" w:cstheme="minorHAnsi"/>
          <w:color w:val="373737"/>
          <w:sz w:val="22"/>
          <w:szCs w:val="22"/>
        </w:rPr>
        <w:t>regenz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, Arktis, Freizeit,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Flavel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,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Defy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,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Altus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,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Dawlance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,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Voltas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Beko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), Vertriebs- und Marketingbüros in 34 Ländern und 23 Produktionsstätten in 9 Ländern bietet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Arçelik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 Produkte und Dienstleistungen in fast 150 Ländern an.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Arçelik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 ist das zweitgrößte Unternehmen für </w:t>
      </w:r>
      <w:r>
        <w:rPr>
          <w:rFonts w:asciiTheme="minorHAnsi" w:hAnsiTheme="minorHAnsi" w:cstheme="minorHAnsi"/>
          <w:color w:val="373737"/>
          <w:sz w:val="22"/>
          <w:szCs w:val="22"/>
        </w:rPr>
        <w:t>Weißware</w:t>
      </w:r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 in Europa, gemessen am mengenbezogenen Marktanteil. Im Jahr 2019 erzielte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Arçelik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 einen </w:t>
      </w:r>
      <w:r w:rsidRPr="00365EF6">
        <w:rPr>
          <w:rFonts w:asciiTheme="minorHAnsi" w:hAnsiTheme="minorHAnsi" w:cstheme="minorHAnsi"/>
          <w:color w:val="373737"/>
          <w:sz w:val="22"/>
          <w:szCs w:val="22"/>
        </w:rPr>
        <w:lastRenderedPageBreak/>
        <w:t>konsolidierten Umsatz von 5 Milliarden Euro. Mit fast 70</w:t>
      </w:r>
      <w:r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% seines Gewinns auf den internationalen Märkten ist </w:t>
      </w:r>
      <w:proofErr w:type="spellStart"/>
      <w:r w:rsidRPr="00365EF6">
        <w:rPr>
          <w:rFonts w:asciiTheme="minorHAnsi" w:hAnsiTheme="minorHAnsi" w:cstheme="minorHAnsi"/>
          <w:color w:val="373737"/>
          <w:sz w:val="22"/>
          <w:szCs w:val="22"/>
        </w:rPr>
        <w:t>Arçelik</w:t>
      </w:r>
      <w:proofErr w:type="spellEnd"/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 der führende F&amp;E-Anbieter in der Türkei</w:t>
      </w:r>
      <w:r>
        <w:rPr>
          <w:rFonts w:asciiTheme="minorHAnsi" w:hAnsiTheme="minorHAnsi" w:cstheme="minorHAnsi"/>
          <w:color w:val="373737"/>
          <w:sz w:val="22"/>
          <w:szCs w:val="22"/>
        </w:rPr>
        <w:t xml:space="preserve"> mit bisher </w:t>
      </w:r>
      <w:r w:rsidRPr="00365EF6">
        <w:rPr>
          <w:rFonts w:asciiTheme="minorHAnsi" w:hAnsiTheme="minorHAnsi" w:cstheme="minorHAnsi"/>
          <w:color w:val="373737"/>
          <w:sz w:val="22"/>
          <w:szCs w:val="22"/>
        </w:rPr>
        <w:t>mehr als 3.000 internationale</w:t>
      </w:r>
      <w:r>
        <w:rPr>
          <w:rFonts w:asciiTheme="minorHAnsi" w:hAnsiTheme="minorHAnsi" w:cstheme="minorHAnsi"/>
          <w:color w:val="373737"/>
          <w:sz w:val="22"/>
          <w:szCs w:val="22"/>
        </w:rPr>
        <w:t>n</w:t>
      </w:r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 Patentanmeldungen</w:t>
      </w:r>
      <w:r>
        <w:rPr>
          <w:rFonts w:asciiTheme="minorHAnsi" w:hAnsiTheme="minorHAnsi" w:cstheme="minorHAnsi"/>
          <w:color w:val="373737"/>
          <w:sz w:val="22"/>
          <w:szCs w:val="22"/>
        </w:rPr>
        <w:t>.</w:t>
      </w:r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 1.600 Forscher</w:t>
      </w:r>
      <w:r>
        <w:rPr>
          <w:rFonts w:asciiTheme="minorHAnsi" w:hAnsiTheme="minorHAnsi" w:cstheme="minorHAnsi"/>
          <w:color w:val="373737"/>
          <w:sz w:val="22"/>
          <w:szCs w:val="22"/>
        </w:rPr>
        <w:t xml:space="preserve"> sind</w:t>
      </w:r>
      <w:r w:rsidRPr="00365EF6">
        <w:rPr>
          <w:rFonts w:asciiTheme="minorHAnsi" w:hAnsiTheme="minorHAnsi" w:cstheme="minorHAnsi"/>
          <w:color w:val="373737"/>
          <w:sz w:val="22"/>
          <w:szCs w:val="22"/>
        </w:rPr>
        <w:t xml:space="preserve"> in 15 F&amp;E- und Designzentren in der Türkei und F&amp;E-Büros in fünf Ländern.</w:t>
      </w:r>
      <w:r w:rsidRPr="00365EF6">
        <w:t xml:space="preserve"> </w:t>
      </w:r>
      <w:hyperlink r:id="rId12" w:history="1">
        <w:r w:rsidRPr="00947159">
          <w:rPr>
            <w:rStyle w:val="Hyperlink"/>
            <w:rFonts w:asciiTheme="minorHAnsi" w:hAnsiTheme="minorHAnsi" w:cstheme="minorHAnsi"/>
            <w:sz w:val="22"/>
            <w:szCs w:val="22"/>
          </w:rPr>
          <w:t>www.arcelikglobal.com</w:t>
        </w:r>
      </w:hyperlink>
    </w:p>
    <w:p w14:paraId="58E581D6" w14:textId="77B2C6B4" w:rsidR="00365EF6" w:rsidRDefault="00365EF6" w:rsidP="004B2AE1">
      <w:pPr>
        <w:pStyle w:val="StandardWeb"/>
        <w:shd w:val="clear" w:color="auto" w:fill="FFFFFF"/>
        <w:rPr>
          <w:rFonts w:asciiTheme="minorHAnsi" w:hAnsiTheme="minorHAnsi" w:cstheme="minorHAnsi"/>
          <w:color w:val="373737"/>
          <w:sz w:val="22"/>
          <w:szCs w:val="22"/>
        </w:rPr>
      </w:pPr>
    </w:p>
    <w:p w14:paraId="207DF109" w14:textId="77777777" w:rsidR="00365EF6" w:rsidRDefault="00365EF6" w:rsidP="004B2AE1">
      <w:pPr>
        <w:pStyle w:val="StandardWeb"/>
        <w:shd w:val="clear" w:color="auto" w:fill="FFFFFF"/>
        <w:rPr>
          <w:rFonts w:asciiTheme="minorHAnsi" w:hAnsiTheme="minorHAnsi" w:cstheme="minorHAnsi"/>
          <w:color w:val="373737"/>
          <w:sz w:val="22"/>
          <w:szCs w:val="22"/>
        </w:rPr>
      </w:pPr>
    </w:p>
    <w:p w14:paraId="095B145E" w14:textId="77777777" w:rsidR="000F5DDB" w:rsidRPr="000F5DDB" w:rsidRDefault="000F5DDB" w:rsidP="004B2AE1">
      <w:pPr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0F5DDB">
        <w:rPr>
          <w:rFonts w:asciiTheme="minorHAnsi" w:hAnsiTheme="minorHAnsi" w:cstheme="minorHAnsi"/>
          <w:sz w:val="22"/>
          <w:szCs w:val="22"/>
          <w:u w:val="single"/>
        </w:rPr>
        <w:t xml:space="preserve">Rückfragen richten Sie bitte an: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656"/>
      </w:tblGrid>
      <w:tr w:rsidR="000F5DDB" w:rsidRPr="000F5DDB" w14:paraId="15104877" w14:textId="77777777" w:rsidTr="00DF225A">
        <w:tc>
          <w:tcPr>
            <w:tcW w:w="4390" w:type="dxa"/>
          </w:tcPr>
          <w:p w14:paraId="0629089C" w14:textId="77777777" w:rsidR="009B01DE" w:rsidRPr="000F5DDB" w:rsidRDefault="009B01DE" w:rsidP="004B2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5DDB">
              <w:rPr>
                <w:rFonts w:asciiTheme="minorHAnsi" w:hAnsiTheme="minorHAnsi" w:cstheme="minorHAnsi"/>
                <w:sz w:val="22"/>
                <w:szCs w:val="22"/>
              </w:rPr>
              <w:t xml:space="preserve">Dr. Alexandra </w:t>
            </w:r>
            <w:proofErr w:type="spellStart"/>
            <w:r w:rsidRPr="000F5DDB">
              <w:rPr>
                <w:rFonts w:asciiTheme="minorHAnsi" w:hAnsiTheme="minorHAnsi" w:cstheme="minorHAnsi"/>
                <w:sz w:val="22"/>
                <w:szCs w:val="22"/>
              </w:rPr>
              <w:t>Vasak</w:t>
            </w:r>
            <w:proofErr w:type="spellEnd"/>
            <w:r w:rsidRPr="000F5D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3BED76" w14:textId="77777777" w:rsidR="000F5DDB" w:rsidRPr="000F5DDB" w:rsidRDefault="000F5DDB" w:rsidP="004B2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5DDB">
              <w:rPr>
                <w:rFonts w:asciiTheme="minorHAnsi" w:hAnsiTheme="minorHAnsi" w:cstheme="minorHAnsi"/>
                <w:sz w:val="22"/>
                <w:szCs w:val="22"/>
              </w:rPr>
              <w:t xml:space="preserve">Reiter PR </w:t>
            </w:r>
          </w:p>
          <w:p w14:paraId="6911A8D2" w14:textId="77777777" w:rsidR="000F5DDB" w:rsidRPr="000F5DDB" w:rsidRDefault="000F5DDB" w:rsidP="004B2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5DDB">
              <w:rPr>
                <w:rFonts w:asciiTheme="minorHAnsi" w:hAnsiTheme="minorHAnsi" w:cstheme="minorHAnsi"/>
                <w:sz w:val="22"/>
                <w:szCs w:val="22"/>
              </w:rPr>
              <w:t>Tel.: +43/699/120 895 59</w:t>
            </w:r>
          </w:p>
          <w:p w14:paraId="6586824A" w14:textId="77777777" w:rsidR="000F5DDB" w:rsidRPr="000F5DDB" w:rsidRDefault="00541784" w:rsidP="004B2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0F5DDB" w:rsidRPr="000F5DD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alexandra.vasak@reiterpr.com</w:t>
              </w:r>
            </w:hyperlink>
          </w:p>
        </w:tc>
        <w:tc>
          <w:tcPr>
            <w:tcW w:w="4666" w:type="dxa"/>
          </w:tcPr>
          <w:p w14:paraId="74413057" w14:textId="77777777" w:rsidR="009B01DE" w:rsidRPr="009B01DE" w:rsidRDefault="009B01DE" w:rsidP="004B2A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01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Philipp </w:t>
            </w:r>
            <w:proofErr w:type="spellStart"/>
            <w:r w:rsidRPr="009B01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Breitenecker</w:t>
            </w:r>
            <w:proofErr w:type="spellEnd"/>
            <w:r w:rsidRPr="009B01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/Head of Marketing </w:t>
            </w:r>
          </w:p>
          <w:p w14:paraId="03E8632F" w14:textId="77777777" w:rsidR="000F5DDB" w:rsidRPr="000F5DDB" w:rsidRDefault="000F5DDB" w:rsidP="004B2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5DDB">
              <w:rPr>
                <w:rFonts w:asciiTheme="minorHAnsi" w:hAnsiTheme="minorHAnsi" w:cstheme="minorHAnsi"/>
                <w:sz w:val="22"/>
                <w:szCs w:val="22"/>
              </w:rPr>
              <w:t xml:space="preserve">Elektra Bregenz AG </w:t>
            </w:r>
          </w:p>
          <w:p w14:paraId="0531B302" w14:textId="77777777" w:rsidR="000F5DDB" w:rsidRPr="000F5DDB" w:rsidRDefault="000F5DDB" w:rsidP="004B2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5DDB">
              <w:rPr>
                <w:rFonts w:asciiTheme="minorHAnsi" w:hAnsiTheme="minorHAnsi" w:cstheme="minorHAnsi"/>
                <w:sz w:val="22"/>
                <w:szCs w:val="22"/>
              </w:rPr>
              <w:t>Tel.: +43/664/384 42 30</w:t>
            </w:r>
          </w:p>
          <w:p w14:paraId="5EACF84A" w14:textId="77777777" w:rsidR="000F5DDB" w:rsidRPr="000F5DDB" w:rsidRDefault="00541784" w:rsidP="004B2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Hyperlink"/>
                <w:rFonts w:asciiTheme="minorHAnsi" w:eastAsia="SohoGothicPro-ExtraBold" w:hAnsiTheme="minorHAnsi" w:cstheme="minorHAnsi"/>
                <w:sz w:val="22"/>
                <w:szCs w:val="22"/>
              </w:rPr>
            </w:pPr>
            <w:hyperlink r:id="rId14" w:history="1">
              <w:r w:rsidR="000F5DDB" w:rsidRPr="000F5DD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philipp.breitenecker@elektrabregenz.com</w:t>
              </w:r>
            </w:hyperlink>
          </w:p>
          <w:p w14:paraId="2CBE214D" w14:textId="77777777" w:rsidR="000F5DDB" w:rsidRPr="000F5DDB" w:rsidRDefault="000F5DDB" w:rsidP="004B2A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B8A744" w14:textId="77777777" w:rsidR="00E957A7" w:rsidRPr="001F19AD" w:rsidRDefault="00E957A7" w:rsidP="004B2AE1">
      <w:pPr>
        <w:pStyle w:val="StandardWeb"/>
        <w:shd w:val="clear" w:color="auto" w:fill="FFFFFF"/>
        <w:rPr>
          <w:rFonts w:asciiTheme="minorHAnsi" w:hAnsiTheme="minorHAnsi" w:cstheme="minorHAnsi"/>
          <w:color w:val="373737"/>
          <w:sz w:val="22"/>
          <w:szCs w:val="22"/>
        </w:rPr>
      </w:pPr>
    </w:p>
    <w:sectPr w:rsidR="00E957A7" w:rsidRPr="001F19AD">
      <w:headerReference w:type="default" r:id="rId15"/>
      <w:footerReference w:type="default" r:id="rId16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1515" w14:textId="77777777" w:rsidR="00541784" w:rsidRDefault="00541784" w:rsidP="00D612DC">
      <w:r>
        <w:separator/>
      </w:r>
    </w:p>
  </w:endnote>
  <w:endnote w:type="continuationSeparator" w:id="0">
    <w:p w14:paraId="164E8ADE" w14:textId="77777777" w:rsidR="00541784" w:rsidRDefault="00541784" w:rsidP="00D6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LT Std 45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2EA40" w14:textId="77777777" w:rsidR="00216775" w:rsidRDefault="00216775">
    <w:pPr>
      <w:pStyle w:val="Fu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20CE05" wp14:editId="3C8C689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897416691f9184869a7fefc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61DDB" w14:textId="77777777" w:rsidR="00216775" w:rsidRPr="00216775" w:rsidRDefault="00216775" w:rsidP="00216775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proofErr w:type="spellStart"/>
                          <w:r w:rsidRPr="00216775">
                            <w:rPr>
                              <w:rFonts w:ascii="Calibri" w:hAnsi="Calibri" w:cs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216775">
                            <w:rPr>
                              <w:rFonts w:ascii="Calibri" w:hAnsi="Calibri" w:cs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0CE05" id="_x0000_t202" coordsize="21600,21600" o:spt="202" path="m,l,21600r21600,l21600,xe">
              <v:stroke joinstyle="miter"/>
              <v:path gradientshapeok="t" o:connecttype="rect"/>
            </v:shapetype>
            <v:shape id="MSIPCMc897416691f9184869a7fefc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" o:allowincell="f" filled="f" stroked="f" strokeweight=".5pt">
              <v:textbox inset="20pt,0,,0">
                <w:txbxContent>
                  <w:p w14:paraId="71961DDB" w14:textId="77777777" w:rsidR="00216775" w:rsidRPr="00216775" w:rsidRDefault="00216775" w:rsidP="00216775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proofErr w:type="spellStart"/>
                    <w:r w:rsidRPr="00216775">
                      <w:rPr>
                        <w:rFonts w:ascii="Calibri" w:hAnsi="Calibri" w:cs="Calibri"/>
                        <w:color w:val="FF8C00"/>
                      </w:rPr>
                      <w:t>Sensitivity</w:t>
                    </w:r>
                    <w:proofErr w:type="spellEnd"/>
                    <w:r w:rsidRPr="00216775">
                      <w:rPr>
                        <w:rFonts w:ascii="Calibri" w:hAnsi="Calibri" w:cs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14BD9" w14:textId="77777777" w:rsidR="00541784" w:rsidRDefault="00541784" w:rsidP="00D612DC">
      <w:r>
        <w:separator/>
      </w:r>
    </w:p>
  </w:footnote>
  <w:footnote w:type="continuationSeparator" w:id="0">
    <w:p w14:paraId="63B5E07E" w14:textId="77777777" w:rsidR="00541784" w:rsidRDefault="00541784" w:rsidP="00D612DC">
      <w:r>
        <w:continuationSeparator/>
      </w:r>
    </w:p>
  </w:footnote>
  <w:footnote w:id="1">
    <w:p w14:paraId="00F2D7A7" w14:textId="798737CA" w:rsidR="002B5D7F" w:rsidRPr="009860BE" w:rsidRDefault="002B5D7F" w:rsidP="002B5D7F">
      <w:pPr>
        <w:rPr>
          <w:rFonts w:asciiTheme="majorHAnsi" w:hAnsiTheme="majorHAnsi" w:cstheme="majorHAnsi"/>
        </w:rPr>
      </w:pPr>
      <w:r>
        <w:rPr>
          <w:rStyle w:val="Funotenzeichen"/>
        </w:rPr>
        <w:footnoteRef/>
      </w:r>
      <w:r w:rsidRPr="009860BE">
        <w:t xml:space="preserve"> </w:t>
      </w:r>
      <w:r w:rsidR="009860BE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Singer Bangladesch, das 2019 erworben wurde, und </w:t>
      </w:r>
      <w:proofErr w:type="spellStart"/>
      <w:r w:rsidR="009860BE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>Voltbek</w:t>
      </w:r>
      <w:proofErr w:type="spellEnd"/>
      <w:r w:rsidR="009860BE" w:rsidRPr="00BE0C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Indien, das 2020 die Produktion aufgenommen hat, sind in den Berechnungen nicht berücksichtigt.</w:t>
      </w:r>
    </w:p>
    <w:p w14:paraId="467B2823" w14:textId="7F47D5F7" w:rsidR="002B5D7F" w:rsidRPr="009860BE" w:rsidRDefault="002B5D7F">
      <w:pPr>
        <w:pStyle w:val="Funotentext"/>
        <w:rPr>
          <w:lang w:val="de-A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5BD4C" w14:textId="77777777" w:rsidR="00D612DC" w:rsidRDefault="00D52D2E">
    <w:pPr>
      <w:pStyle w:val="Kopfzeile"/>
    </w:pPr>
    <w:r>
      <w:tab/>
    </w:r>
    <w:r>
      <w:tab/>
    </w:r>
    <w:r>
      <w:rPr>
        <w:noProof/>
        <w:lang w:eastAsia="en-GB"/>
      </w:rPr>
      <w:drawing>
        <wp:inline distT="0" distB="0" distL="0" distR="0" wp14:anchorId="05939BAA" wp14:editId="0AC78408">
          <wp:extent cx="1188637" cy="410945"/>
          <wp:effectExtent l="0" t="0" r="0" b="8255"/>
          <wp:docPr id="17" name="Picture 17" descr="Image result for arceli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arceli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643" cy="44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21498"/>
    <w:multiLevelType w:val="hybridMultilevel"/>
    <w:tmpl w:val="7BEA1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349D"/>
    <w:multiLevelType w:val="hybridMultilevel"/>
    <w:tmpl w:val="3C3E9CF8"/>
    <w:lvl w:ilvl="0" w:tplc="8E561830">
      <w:start w:val="400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E1542"/>
    <w:multiLevelType w:val="hybridMultilevel"/>
    <w:tmpl w:val="C8F4C3EE"/>
    <w:lvl w:ilvl="0" w:tplc="921010D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3288"/>
    <w:multiLevelType w:val="hybridMultilevel"/>
    <w:tmpl w:val="93407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C1A93"/>
    <w:multiLevelType w:val="hybridMultilevel"/>
    <w:tmpl w:val="BF7A3592"/>
    <w:lvl w:ilvl="0" w:tplc="92ECF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45023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472D4"/>
    <w:multiLevelType w:val="hybridMultilevel"/>
    <w:tmpl w:val="DC58D9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044C"/>
    <w:multiLevelType w:val="hybridMultilevel"/>
    <w:tmpl w:val="2F4A7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C36C4"/>
    <w:multiLevelType w:val="hybridMultilevel"/>
    <w:tmpl w:val="9C1C6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F0570"/>
    <w:multiLevelType w:val="hybridMultilevel"/>
    <w:tmpl w:val="7C3EDB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033448"/>
    <w:multiLevelType w:val="hybridMultilevel"/>
    <w:tmpl w:val="C6E26A90"/>
    <w:lvl w:ilvl="0" w:tplc="7B1A0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61888"/>
    <w:multiLevelType w:val="hybridMultilevel"/>
    <w:tmpl w:val="7D80FE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03"/>
    <w:rsid w:val="000059F4"/>
    <w:rsid w:val="00005D25"/>
    <w:rsid w:val="0002346A"/>
    <w:rsid w:val="000311EE"/>
    <w:rsid w:val="0006096F"/>
    <w:rsid w:val="0006577B"/>
    <w:rsid w:val="00080D30"/>
    <w:rsid w:val="00092C06"/>
    <w:rsid w:val="0009420C"/>
    <w:rsid w:val="000978E3"/>
    <w:rsid w:val="000B0377"/>
    <w:rsid w:val="000B1BA6"/>
    <w:rsid w:val="000B7808"/>
    <w:rsid w:val="000C61AE"/>
    <w:rsid w:val="000D015E"/>
    <w:rsid w:val="000D2886"/>
    <w:rsid w:val="000D566D"/>
    <w:rsid w:val="000E2AF6"/>
    <w:rsid w:val="000E7461"/>
    <w:rsid w:val="000F5DDB"/>
    <w:rsid w:val="00104029"/>
    <w:rsid w:val="00154091"/>
    <w:rsid w:val="00180ED2"/>
    <w:rsid w:val="00182443"/>
    <w:rsid w:val="001B39CF"/>
    <w:rsid w:val="001D7812"/>
    <w:rsid w:val="001F19AD"/>
    <w:rsid w:val="002015A3"/>
    <w:rsid w:val="00216775"/>
    <w:rsid w:val="002228E8"/>
    <w:rsid w:val="00245730"/>
    <w:rsid w:val="00247761"/>
    <w:rsid w:val="00274E28"/>
    <w:rsid w:val="00281BC6"/>
    <w:rsid w:val="002949AD"/>
    <w:rsid w:val="00294A67"/>
    <w:rsid w:val="002B201B"/>
    <w:rsid w:val="002B352C"/>
    <w:rsid w:val="002B5D7F"/>
    <w:rsid w:val="002D4EDA"/>
    <w:rsid w:val="002D6BF1"/>
    <w:rsid w:val="002D7E4F"/>
    <w:rsid w:val="00303E55"/>
    <w:rsid w:val="00345B36"/>
    <w:rsid w:val="0036072F"/>
    <w:rsid w:val="00365EF6"/>
    <w:rsid w:val="0038487F"/>
    <w:rsid w:val="00394B05"/>
    <w:rsid w:val="00396343"/>
    <w:rsid w:val="003A48DD"/>
    <w:rsid w:val="003A52B5"/>
    <w:rsid w:val="003C7E4A"/>
    <w:rsid w:val="003D0C1C"/>
    <w:rsid w:val="003D3D81"/>
    <w:rsid w:val="003E1B96"/>
    <w:rsid w:val="00426B9B"/>
    <w:rsid w:val="00442BF0"/>
    <w:rsid w:val="004646C3"/>
    <w:rsid w:val="00483B54"/>
    <w:rsid w:val="00494E44"/>
    <w:rsid w:val="004A7B65"/>
    <w:rsid w:val="004B2AE1"/>
    <w:rsid w:val="004B59B9"/>
    <w:rsid w:val="004C4715"/>
    <w:rsid w:val="004D7BE5"/>
    <w:rsid w:val="004E2A11"/>
    <w:rsid w:val="004E6813"/>
    <w:rsid w:val="004F62E7"/>
    <w:rsid w:val="00502173"/>
    <w:rsid w:val="00513E96"/>
    <w:rsid w:val="00530F13"/>
    <w:rsid w:val="005325F0"/>
    <w:rsid w:val="005368AA"/>
    <w:rsid w:val="00541784"/>
    <w:rsid w:val="00544920"/>
    <w:rsid w:val="00547BBA"/>
    <w:rsid w:val="005523B7"/>
    <w:rsid w:val="00581609"/>
    <w:rsid w:val="00583582"/>
    <w:rsid w:val="005929FD"/>
    <w:rsid w:val="00592E2F"/>
    <w:rsid w:val="005A312A"/>
    <w:rsid w:val="005B3D10"/>
    <w:rsid w:val="005D003C"/>
    <w:rsid w:val="005D0D99"/>
    <w:rsid w:val="005E1D76"/>
    <w:rsid w:val="0061660B"/>
    <w:rsid w:val="0063202C"/>
    <w:rsid w:val="006405D6"/>
    <w:rsid w:val="00644C2A"/>
    <w:rsid w:val="006460A6"/>
    <w:rsid w:val="006467E0"/>
    <w:rsid w:val="00654F1A"/>
    <w:rsid w:val="00655E7E"/>
    <w:rsid w:val="0067005B"/>
    <w:rsid w:val="00670515"/>
    <w:rsid w:val="00672CC1"/>
    <w:rsid w:val="006952ED"/>
    <w:rsid w:val="00695CC9"/>
    <w:rsid w:val="00696D36"/>
    <w:rsid w:val="006A02D3"/>
    <w:rsid w:val="006C3E5B"/>
    <w:rsid w:val="006C5440"/>
    <w:rsid w:val="006D2D63"/>
    <w:rsid w:val="006E7559"/>
    <w:rsid w:val="00710917"/>
    <w:rsid w:val="007173E2"/>
    <w:rsid w:val="00726869"/>
    <w:rsid w:val="007334C5"/>
    <w:rsid w:val="0074132F"/>
    <w:rsid w:val="007709A2"/>
    <w:rsid w:val="00775C69"/>
    <w:rsid w:val="007768CA"/>
    <w:rsid w:val="007A027A"/>
    <w:rsid w:val="007B6351"/>
    <w:rsid w:val="007D11BB"/>
    <w:rsid w:val="007F53DC"/>
    <w:rsid w:val="008010D8"/>
    <w:rsid w:val="0081082A"/>
    <w:rsid w:val="00825991"/>
    <w:rsid w:val="00827485"/>
    <w:rsid w:val="008453A1"/>
    <w:rsid w:val="008847CC"/>
    <w:rsid w:val="008A5D5D"/>
    <w:rsid w:val="008C2FCC"/>
    <w:rsid w:val="008D0BF7"/>
    <w:rsid w:val="008D6BD1"/>
    <w:rsid w:val="008F15E7"/>
    <w:rsid w:val="008F7001"/>
    <w:rsid w:val="00902BD1"/>
    <w:rsid w:val="00904281"/>
    <w:rsid w:val="0093358A"/>
    <w:rsid w:val="00941AC9"/>
    <w:rsid w:val="00945351"/>
    <w:rsid w:val="00956C69"/>
    <w:rsid w:val="009860BE"/>
    <w:rsid w:val="009B01DE"/>
    <w:rsid w:val="009C3852"/>
    <w:rsid w:val="009E038C"/>
    <w:rsid w:val="00A03E08"/>
    <w:rsid w:val="00A34CBC"/>
    <w:rsid w:val="00A403B5"/>
    <w:rsid w:val="00A460BF"/>
    <w:rsid w:val="00A46353"/>
    <w:rsid w:val="00A4669B"/>
    <w:rsid w:val="00A52EDB"/>
    <w:rsid w:val="00A5308D"/>
    <w:rsid w:val="00A75DA9"/>
    <w:rsid w:val="00A95603"/>
    <w:rsid w:val="00AB4A7F"/>
    <w:rsid w:val="00AC6DC6"/>
    <w:rsid w:val="00AC761C"/>
    <w:rsid w:val="00AD250A"/>
    <w:rsid w:val="00AF715F"/>
    <w:rsid w:val="00B14DB8"/>
    <w:rsid w:val="00B16471"/>
    <w:rsid w:val="00B35FBC"/>
    <w:rsid w:val="00B47F97"/>
    <w:rsid w:val="00B60FAF"/>
    <w:rsid w:val="00B853F8"/>
    <w:rsid w:val="00B85CE3"/>
    <w:rsid w:val="00B9087D"/>
    <w:rsid w:val="00BA0A07"/>
    <w:rsid w:val="00BA7B72"/>
    <w:rsid w:val="00BB21DE"/>
    <w:rsid w:val="00BB6148"/>
    <w:rsid w:val="00BB67FE"/>
    <w:rsid w:val="00BD35C0"/>
    <w:rsid w:val="00BE0C62"/>
    <w:rsid w:val="00BE3717"/>
    <w:rsid w:val="00BF3C16"/>
    <w:rsid w:val="00C01C0F"/>
    <w:rsid w:val="00C065C5"/>
    <w:rsid w:val="00C1595B"/>
    <w:rsid w:val="00C20B47"/>
    <w:rsid w:val="00C236E2"/>
    <w:rsid w:val="00C502DD"/>
    <w:rsid w:val="00C53D7F"/>
    <w:rsid w:val="00C6465B"/>
    <w:rsid w:val="00C961C1"/>
    <w:rsid w:val="00CA667E"/>
    <w:rsid w:val="00CB3BDE"/>
    <w:rsid w:val="00CC7AD3"/>
    <w:rsid w:val="00CD5B69"/>
    <w:rsid w:val="00D3292E"/>
    <w:rsid w:val="00D52D2E"/>
    <w:rsid w:val="00D55B3E"/>
    <w:rsid w:val="00D612DC"/>
    <w:rsid w:val="00D6371B"/>
    <w:rsid w:val="00D6772F"/>
    <w:rsid w:val="00D7678B"/>
    <w:rsid w:val="00D80DF8"/>
    <w:rsid w:val="00D816B0"/>
    <w:rsid w:val="00D90C09"/>
    <w:rsid w:val="00DA7028"/>
    <w:rsid w:val="00DA7A90"/>
    <w:rsid w:val="00DC0395"/>
    <w:rsid w:val="00DC2035"/>
    <w:rsid w:val="00DE4EB8"/>
    <w:rsid w:val="00E003D8"/>
    <w:rsid w:val="00E102E0"/>
    <w:rsid w:val="00E212EF"/>
    <w:rsid w:val="00E517E8"/>
    <w:rsid w:val="00E61F2B"/>
    <w:rsid w:val="00E67E2F"/>
    <w:rsid w:val="00E71C95"/>
    <w:rsid w:val="00E724DF"/>
    <w:rsid w:val="00E73788"/>
    <w:rsid w:val="00E814ED"/>
    <w:rsid w:val="00E95101"/>
    <w:rsid w:val="00E957A7"/>
    <w:rsid w:val="00EA0BC7"/>
    <w:rsid w:val="00EA79C9"/>
    <w:rsid w:val="00ED26C6"/>
    <w:rsid w:val="00ED565E"/>
    <w:rsid w:val="00ED6EDC"/>
    <w:rsid w:val="00EF4BCC"/>
    <w:rsid w:val="00F23018"/>
    <w:rsid w:val="00F30FFA"/>
    <w:rsid w:val="00F45BBA"/>
    <w:rsid w:val="00F46A80"/>
    <w:rsid w:val="00FA0B86"/>
    <w:rsid w:val="00FA1912"/>
    <w:rsid w:val="00FB2EF9"/>
    <w:rsid w:val="00FC3B16"/>
    <w:rsid w:val="00FE5482"/>
    <w:rsid w:val="00FE79B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8C5E"/>
  <w15:chartTrackingRefBased/>
  <w15:docId w15:val="{8654A30E-31A0-46F7-87AD-6BD1DF7B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FooterText,Bullet List,numbered,List Paragraph1,Paragraphe de liste1,Bulletr List Paragraph,列出段落,列出段落1,Listeafsnit1,Parágrafo da Lista1,List Paragraph2,List Paragraph21,リスト段落1,Párrafo de lista1,List Paragraph11,列?出?段?落,Parágrafo da Lista"/>
    <w:basedOn w:val="Standard"/>
    <w:link w:val="ListenabsatzZchn"/>
    <w:uiPriority w:val="34"/>
    <w:qFormat/>
    <w:rsid w:val="00E003D8"/>
    <w:pPr>
      <w:ind w:left="720"/>
      <w:contextualSpacing/>
    </w:pPr>
    <w:rPr>
      <w:rFonts w:ascii="Century Gothic" w:hAnsi="Century Gothic"/>
      <w:sz w:val="20"/>
      <w:szCs w:val="20"/>
    </w:rPr>
  </w:style>
  <w:style w:type="character" w:styleId="Hyperlink">
    <w:name w:val="Hyperlink"/>
    <w:unhideWhenUsed/>
    <w:rsid w:val="00D612D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12DC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12DC"/>
  </w:style>
  <w:style w:type="paragraph" w:styleId="Fuzeile">
    <w:name w:val="footer"/>
    <w:basedOn w:val="Standard"/>
    <w:link w:val="FuzeileZchn"/>
    <w:uiPriority w:val="99"/>
    <w:unhideWhenUsed/>
    <w:rsid w:val="00D612D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12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BC6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BC6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52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52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52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52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52B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3D0C1C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83582"/>
    <w:rPr>
      <w:color w:val="605E5C"/>
      <w:shd w:val="clear" w:color="auto" w:fill="E1DFDD"/>
    </w:rPr>
  </w:style>
  <w:style w:type="character" w:customStyle="1" w:styleId="ListenabsatzZchn">
    <w:name w:val="Listenabsatz Zchn"/>
    <w:aliases w:val="FooterText Zchn,Bullet List Zchn,numbered Zchn,List Paragraph1 Zchn,Paragraphe de liste1 Zchn,Bulletr List Paragraph Zchn,列出段落 Zchn,列出段落1 Zchn,Listeafsnit1 Zchn,Parágrafo da Lista1 Zchn,List Paragraph2 Zchn,List Paragraph21 Zchn"/>
    <w:basedOn w:val="Absatz-Standardschriftart"/>
    <w:link w:val="Listenabsatz"/>
    <w:uiPriority w:val="34"/>
    <w:locked/>
    <w:rsid w:val="00D816B0"/>
    <w:rPr>
      <w:rFonts w:ascii="Century Gothic" w:hAnsi="Century Gothic"/>
      <w:sz w:val="20"/>
      <w:szCs w:val="20"/>
    </w:rPr>
  </w:style>
  <w:style w:type="character" w:customStyle="1" w:styleId="xn-location">
    <w:name w:val="xn-location"/>
    <w:basedOn w:val="Absatz-Standardschriftart"/>
    <w:rsid w:val="00AD250A"/>
  </w:style>
  <w:style w:type="character" w:customStyle="1" w:styleId="apple-converted-space">
    <w:name w:val="apple-converted-space"/>
    <w:basedOn w:val="Absatz-Standardschriftart"/>
    <w:rsid w:val="0094535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51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517E8"/>
    <w:rPr>
      <w:rFonts w:ascii="Courier New" w:eastAsia="Times New Roman" w:hAnsi="Courier New" w:cs="Courier New"/>
      <w:sz w:val="20"/>
      <w:szCs w:val="20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19A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F5DD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212EF"/>
    <w:rPr>
      <w:rFonts w:eastAsiaTheme="minorHAnsi"/>
      <w:lang w:val="en-GB" w:eastAsia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12EF"/>
    <w:rPr>
      <w:rFonts w:ascii="Times New Roman" w:hAnsi="Times New Roman" w:cs="Times New Roman"/>
      <w:sz w:val="24"/>
      <w:szCs w:val="24"/>
      <w:lang w:eastAsia="en-GB"/>
    </w:rPr>
  </w:style>
  <w:style w:type="paragraph" w:styleId="NurText">
    <w:name w:val="Plain Text"/>
    <w:basedOn w:val="Standard"/>
    <w:link w:val="NurTextZchn"/>
    <w:uiPriority w:val="99"/>
    <w:unhideWhenUsed/>
    <w:rsid w:val="004B2AE1"/>
    <w:rPr>
      <w:rFonts w:ascii="Consolas" w:eastAsiaTheme="minorHAnsi" w:hAnsi="Consolas" w:cs="Calibri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B2AE1"/>
    <w:rPr>
      <w:rFonts w:ascii="Consolas" w:hAnsi="Consolas" w:cs="Calibri"/>
      <w:sz w:val="21"/>
      <w:szCs w:val="21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B5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045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862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6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exandra.vasak@reiterp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celikglob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elikglobal.com/media/5833/arcelik_master_eng_online_1808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reiterpr.com/aktuell/635-ar&#231;elik-gibt-nachhaltigkeitsziele-f&#252;r-2030-bekan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hilipp.breitenecker@elektrabregen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448CA745A39504EA09FB8488DB14B56" ma:contentTypeVersion="11" ma:contentTypeDescription="Yeni belge oluşturun." ma:contentTypeScope="" ma:versionID="abb6a90258b14fa41d2b335eac4c24d1">
  <xsd:schema xmlns:xsd="http://www.w3.org/2001/XMLSchema" xmlns:xs="http://www.w3.org/2001/XMLSchema" xmlns:p="http://schemas.microsoft.com/office/2006/metadata/properties" xmlns:ns3="048f2571-898c-4bbf-9029-469a3450288f" xmlns:ns4="1c20111c-3c64-49d2-9ebf-b96d86f51720" targetNamespace="http://schemas.microsoft.com/office/2006/metadata/properties" ma:root="true" ma:fieldsID="3bc0c5ddb70a1f85e3cf747887f73915" ns3:_="" ns4:_="">
    <xsd:import namespace="048f2571-898c-4bbf-9029-469a3450288f"/>
    <xsd:import namespace="1c20111c-3c64-49d2-9ebf-b96d86f51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f2571-898c-4bbf-9029-469a3450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0111c-3c64-49d2-9ebf-b96d86f51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DC531-7F2D-4852-BE07-0A76B4F37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B9E9C2-9F06-411C-81AC-91643EA36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f2571-898c-4bbf-9029-469a3450288f"/>
    <ds:schemaRef ds:uri="1c20111c-3c64-49d2-9ebf-b96d86f51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2F44D-DACE-483C-8999-6990191D8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17</cp:revision>
  <dcterms:created xsi:type="dcterms:W3CDTF">2019-09-09T06:21:00Z</dcterms:created>
  <dcterms:modified xsi:type="dcterms:W3CDTF">2020-09-22T07:44:00Z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26033587@arcelik.com</vt:lpwstr>
  </property>
  <property fmtid="{D5CDD505-2E9C-101B-9397-08002B2CF9AE}" pid="5" name="MSIP_Label_18de4db4-e00d-47c3-9d58-42953a01c92d_SetDate">
    <vt:lpwstr>2019-08-27T11:42:37.9926170Z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  <property fmtid="{D5CDD505-2E9C-101B-9397-08002B2CF9AE}" pid="10" name="ContentTypeId">
    <vt:lpwstr>0x0101004448CA745A39504EA09FB8488DB14B56</vt:lpwstr>
  </property>
</Properties>
</file>