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BDD5" w14:textId="77777777" w:rsidR="002359C5" w:rsidRDefault="002359C5" w:rsidP="002359C5">
      <w:pPr>
        <w:rPr>
          <w:rFonts w:ascii="Arial" w:hAnsi="Arial" w:cs="Arial"/>
        </w:rPr>
      </w:pPr>
      <w:r>
        <w:rPr>
          <w:rFonts w:ascii="Arial" w:hAnsi="Arial" w:cs="Arial"/>
        </w:rPr>
        <w:t>Medieninformation</w:t>
      </w:r>
    </w:p>
    <w:p w14:paraId="296550C6" w14:textId="77777777" w:rsidR="002359C5" w:rsidRDefault="002359C5" w:rsidP="002359C5">
      <w:pPr>
        <w:rPr>
          <w:rFonts w:ascii="Arial" w:hAnsi="Arial" w:cs="Arial"/>
        </w:rPr>
      </w:pPr>
    </w:p>
    <w:p w14:paraId="2ED87ED8" w14:textId="77777777" w:rsidR="002359C5" w:rsidRDefault="002359C5" w:rsidP="002359C5">
      <w:pPr>
        <w:rPr>
          <w:rFonts w:ascii="Arial" w:hAnsi="Arial" w:cs="Arial"/>
          <w:b/>
          <w:bCs/>
          <w:sz w:val="28"/>
          <w:szCs w:val="28"/>
        </w:rPr>
      </w:pPr>
      <w:r>
        <w:rPr>
          <w:rFonts w:ascii="Arial" w:hAnsi="Arial" w:cs="Arial"/>
          <w:b/>
          <w:bCs/>
          <w:sz w:val="28"/>
          <w:szCs w:val="28"/>
        </w:rPr>
        <w:t xml:space="preserve">BUX Zero-Kunden investieren 2021 verstärkt in Tourismus und ETFs </w:t>
      </w:r>
    </w:p>
    <w:p w14:paraId="4286DFD0" w14:textId="77777777" w:rsidR="002359C5" w:rsidRDefault="002359C5" w:rsidP="002359C5">
      <w:pPr>
        <w:rPr>
          <w:rFonts w:ascii="Arial" w:hAnsi="Arial" w:cs="Arial"/>
          <w:b/>
          <w:bCs/>
        </w:rPr>
      </w:pPr>
      <w:r>
        <w:rPr>
          <w:rFonts w:ascii="Arial" w:hAnsi="Arial" w:cs="Arial"/>
          <w:b/>
          <w:bCs/>
        </w:rPr>
        <w:t>Tourismus ist meistgekaufter Sektor in 5 der 7 Länder, in denen BUX Zero in Europa verfügbar ist</w:t>
      </w:r>
    </w:p>
    <w:p w14:paraId="4B450302" w14:textId="77777777" w:rsidR="002359C5" w:rsidRDefault="002359C5" w:rsidP="002359C5">
      <w:pPr>
        <w:rPr>
          <w:rFonts w:ascii="Arial" w:hAnsi="Arial" w:cs="Arial"/>
          <w:b/>
          <w:bCs/>
        </w:rPr>
      </w:pPr>
      <w:r>
        <w:rPr>
          <w:rFonts w:ascii="Arial" w:hAnsi="Arial" w:cs="Arial"/>
          <w:b/>
          <w:bCs/>
        </w:rPr>
        <w:t>Prozentualer Anteil des BUX Zero-Kundenvermögens, der in ETFs investiert wurde, vervierfachte sich innerhalb eines Jahres</w:t>
      </w:r>
    </w:p>
    <w:p w14:paraId="31913267" w14:textId="77777777" w:rsidR="002359C5" w:rsidRDefault="002359C5" w:rsidP="002359C5">
      <w:pPr>
        <w:rPr>
          <w:rFonts w:ascii="Arial" w:hAnsi="Arial" w:cs="Arial"/>
        </w:rPr>
      </w:pPr>
    </w:p>
    <w:p w14:paraId="2A47689E" w14:textId="77777777" w:rsidR="002359C5" w:rsidRDefault="002359C5" w:rsidP="002359C5">
      <w:pPr>
        <w:rPr>
          <w:rFonts w:ascii="Arial" w:hAnsi="Arial" w:cs="Arial"/>
        </w:rPr>
      </w:pPr>
      <w:r>
        <w:rPr>
          <w:rFonts w:ascii="Arial" w:hAnsi="Arial" w:cs="Arial"/>
        </w:rPr>
        <w:t xml:space="preserve">Amsterdam/Wien, 13. Dezember 2021 - BUX, Europas am schnellsten wachsender Neobroker, hat heute seinen Jahresrückblick veröffentlicht, der die wichtigsten Investmententscheidungen seiner Nutzer im Jahr 2021 zusammenfasst. In einem Jahr, das mit einer durch Meme-Aktien ausgelösten Marktvolatilität begann und mit dem Auftauchen einer neuen Covid-Variante endete, investierten BUX Zero-Nutzer vermehrt in den Tourismussektor. </w:t>
      </w:r>
      <w:r>
        <w:rPr>
          <w:rFonts w:ascii="Arial" w:hAnsi="Arial" w:cs="Arial"/>
          <w:color w:val="000000"/>
          <w:shd w:val="clear" w:color="auto" w:fill="FFFFFF"/>
        </w:rPr>
        <w:t>Außerdem zeigen sie immer größeres Interesse an mittel- bis langfristigen Investitionen, indem sie den Betrag, den sie in ETFs investieren, kontinuierlich erhöhen.</w:t>
      </w:r>
      <w:r>
        <w:rPr>
          <w:rFonts w:ascii="Arial" w:hAnsi="Arial" w:cs="Arial"/>
        </w:rPr>
        <w:t xml:space="preserve"> </w:t>
      </w:r>
    </w:p>
    <w:p w14:paraId="10854F04" w14:textId="77777777" w:rsidR="002359C5" w:rsidRDefault="002359C5" w:rsidP="002359C5">
      <w:pPr>
        <w:rPr>
          <w:rFonts w:ascii="Arial" w:hAnsi="Arial" w:cs="Arial"/>
        </w:rPr>
      </w:pPr>
    </w:p>
    <w:p w14:paraId="65350938" w14:textId="77777777" w:rsidR="002359C5" w:rsidRDefault="002359C5" w:rsidP="002359C5">
      <w:pPr>
        <w:rPr>
          <w:rFonts w:ascii="Arial" w:hAnsi="Arial" w:cs="Arial"/>
          <w:i/>
          <w:iCs/>
        </w:rPr>
      </w:pPr>
      <w:r>
        <w:rPr>
          <w:rFonts w:ascii="Arial" w:hAnsi="Arial" w:cs="Arial"/>
          <w:i/>
          <w:iCs/>
        </w:rPr>
        <w:t>"Das Jahr 2021 wird in die Geschichtsbücher eingehen als das Jahr, in dem viele, die erst kürzlich zum ersten Mal in den Aktienmarkt eingestiegen sind, zu reiferen und disziplinierteren Anlegern wurden. Das wird vor allem am verstärkten Interesse an mittel- bis langfristigen Anlageformen der Kleinanleger veranschaulicht. Darüber hinaus zeigte ein sprunghafter Anstieg der Käufe von Tourismusaktien, dass die Anleger ungeachtet der Marktvolatilität, wieder Vertrauen in die Erholung der Branche haben. Während das Jahr 2020 einen regelrechten Investitionsrausch auslöste, war dieses Jahr vor allem von der Hoffnung auf eine bessere Zukunft geprägt",</w:t>
      </w:r>
      <w:r>
        <w:rPr>
          <w:rFonts w:ascii="Arial" w:hAnsi="Arial" w:cs="Arial"/>
        </w:rPr>
        <w:t xml:space="preserve"> so </w:t>
      </w:r>
      <w:proofErr w:type="spellStart"/>
      <w:r>
        <w:rPr>
          <w:rFonts w:ascii="Arial" w:hAnsi="Arial" w:cs="Arial"/>
        </w:rPr>
        <w:t>Yorick</w:t>
      </w:r>
      <w:proofErr w:type="spellEnd"/>
      <w:r>
        <w:rPr>
          <w:rFonts w:ascii="Arial" w:hAnsi="Arial" w:cs="Arial"/>
        </w:rPr>
        <w:t xml:space="preserve"> </w:t>
      </w:r>
      <w:proofErr w:type="spellStart"/>
      <w:r>
        <w:rPr>
          <w:rFonts w:ascii="Arial" w:hAnsi="Arial" w:cs="Arial"/>
        </w:rPr>
        <w:t>Naeff</w:t>
      </w:r>
      <w:proofErr w:type="spellEnd"/>
      <w:r>
        <w:rPr>
          <w:rFonts w:ascii="Arial" w:hAnsi="Arial" w:cs="Arial"/>
        </w:rPr>
        <w:t xml:space="preserve">, CEO von BUX. </w:t>
      </w:r>
    </w:p>
    <w:p w14:paraId="3EAF8F19" w14:textId="77777777" w:rsidR="002359C5" w:rsidRDefault="002359C5" w:rsidP="002359C5">
      <w:pPr>
        <w:rPr>
          <w:rFonts w:ascii="Arial" w:hAnsi="Arial" w:cs="Arial"/>
        </w:rPr>
      </w:pPr>
    </w:p>
    <w:p w14:paraId="70117F2E" w14:textId="77777777" w:rsidR="002359C5" w:rsidRDefault="002359C5" w:rsidP="002359C5">
      <w:pPr>
        <w:rPr>
          <w:rFonts w:ascii="Arial" w:hAnsi="Arial" w:cs="Arial"/>
          <w:b/>
          <w:bCs/>
        </w:rPr>
      </w:pPr>
      <w:r>
        <w:rPr>
          <w:rFonts w:ascii="Arial" w:hAnsi="Arial" w:cs="Arial"/>
          <w:b/>
          <w:bCs/>
        </w:rPr>
        <w:t>Tourismusaktien entwickelten sich im Jahr 2021 gut</w:t>
      </w:r>
    </w:p>
    <w:p w14:paraId="6A490464" w14:textId="77777777" w:rsidR="002359C5" w:rsidRDefault="002359C5" w:rsidP="002359C5">
      <w:pPr>
        <w:rPr>
          <w:rFonts w:ascii="Arial" w:hAnsi="Arial" w:cs="Arial"/>
        </w:rPr>
      </w:pPr>
      <w:r>
        <w:rPr>
          <w:rFonts w:ascii="Arial" w:hAnsi="Arial" w:cs="Arial"/>
        </w:rPr>
        <w:t xml:space="preserve">Im Zuge der mittlerweile fast zwei Jahre andauernden Covid-19-Pandemie war es insbesondere der Tourismussektor, der sehr stark von den Entwicklungen betroffen war. Nichtsdestotrotz haben die Anleger im vergangenen Jahr an eine Erholung der Branche geglaubt. Im Jahr 2021 war die deutsche multinationale TUI, das eines der größten Reise- und Tourismusunternehmen der Welt ist, der meistgekaufte Aktientitel bei BUX </w:t>
      </w:r>
      <w:proofErr w:type="gramStart"/>
      <w:r>
        <w:rPr>
          <w:rFonts w:ascii="Arial" w:hAnsi="Arial" w:cs="Arial"/>
        </w:rPr>
        <w:t>Zero.*</w:t>
      </w:r>
      <w:proofErr w:type="gramEnd"/>
      <w:r>
        <w:rPr>
          <w:rFonts w:ascii="Arial" w:hAnsi="Arial" w:cs="Arial"/>
        </w:rPr>
        <w:t xml:space="preserve"> Außerdem setzte sich der Tourismussektor in fünf der sieben Länder, in denen BUX Zero verfügbar ist, als der meistgekaufte Sektor durch. TUI führte interessanterweise auch die Liste der meistgekauften Werte in Österreich, Belgien und Deutschland an. In Frankreich und den Niederlanden war es Air France-KLM, die Platz eins in der Liste </w:t>
      </w:r>
      <w:proofErr w:type="gramStart"/>
      <w:r>
        <w:rPr>
          <w:rFonts w:ascii="Arial" w:hAnsi="Arial" w:cs="Arial"/>
        </w:rPr>
        <w:t>verzeichnete.*</w:t>
      </w:r>
      <w:proofErr w:type="gramEnd"/>
    </w:p>
    <w:p w14:paraId="0E3A53C3" w14:textId="77777777" w:rsidR="002359C5" w:rsidRDefault="002359C5" w:rsidP="002359C5">
      <w:pPr>
        <w:rPr>
          <w:rFonts w:ascii="Arial" w:hAnsi="Arial" w:cs="Arial"/>
        </w:rPr>
      </w:pPr>
    </w:p>
    <w:p w14:paraId="6EAC14BD" w14:textId="77777777" w:rsidR="002359C5" w:rsidRDefault="002359C5" w:rsidP="002359C5">
      <w:pPr>
        <w:rPr>
          <w:rFonts w:ascii="Arial" w:hAnsi="Arial" w:cs="Arial"/>
          <w:b/>
          <w:bCs/>
        </w:rPr>
      </w:pPr>
      <w:r>
        <w:rPr>
          <w:rFonts w:ascii="Arial" w:hAnsi="Arial" w:cs="Arial"/>
          <w:b/>
          <w:bCs/>
        </w:rPr>
        <w:t>Top 10 der meistgekauften Werte (Aktien &amp; ETFs) über BUX Zero im Jahr 2021*</w:t>
      </w:r>
    </w:p>
    <w:p w14:paraId="5AA479A4" w14:textId="77777777" w:rsidR="002359C5" w:rsidRDefault="002359C5" w:rsidP="002359C5">
      <w:pPr>
        <w:pStyle w:val="Listenabsatz"/>
        <w:numPr>
          <w:ilvl w:val="0"/>
          <w:numId w:val="1"/>
        </w:numPr>
        <w:rPr>
          <w:rFonts w:ascii="Arial" w:eastAsia="Times New Roman" w:hAnsi="Arial" w:cs="Arial"/>
        </w:rPr>
      </w:pPr>
      <w:r>
        <w:rPr>
          <w:rFonts w:ascii="Arial" w:eastAsia="Times New Roman" w:hAnsi="Arial" w:cs="Arial"/>
        </w:rPr>
        <w:t>TUI (Tourismus)</w:t>
      </w:r>
    </w:p>
    <w:p w14:paraId="72DB6077" w14:textId="77777777" w:rsidR="002359C5" w:rsidRDefault="002359C5" w:rsidP="002359C5">
      <w:pPr>
        <w:pStyle w:val="Listenabsatz"/>
        <w:numPr>
          <w:ilvl w:val="0"/>
          <w:numId w:val="1"/>
        </w:numPr>
        <w:rPr>
          <w:rFonts w:ascii="Arial" w:eastAsia="Times New Roman" w:hAnsi="Arial" w:cs="Arial"/>
        </w:rPr>
      </w:pPr>
      <w:r>
        <w:rPr>
          <w:rFonts w:ascii="Arial" w:eastAsia="Times New Roman" w:hAnsi="Arial" w:cs="Arial"/>
        </w:rPr>
        <w:t>Air France-KLM (Tourismus)</w:t>
      </w:r>
    </w:p>
    <w:p w14:paraId="6510B7E7" w14:textId="77777777" w:rsidR="002359C5" w:rsidRDefault="002359C5" w:rsidP="002359C5">
      <w:pPr>
        <w:pStyle w:val="Listenabsatz"/>
        <w:numPr>
          <w:ilvl w:val="0"/>
          <w:numId w:val="1"/>
        </w:numPr>
        <w:rPr>
          <w:rFonts w:ascii="Arial" w:eastAsia="Times New Roman" w:hAnsi="Arial" w:cs="Arial"/>
        </w:rPr>
      </w:pPr>
      <w:r>
        <w:rPr>
          <w:rFonts w:ascii="Arial" w:eastAsia="Times New Roman" w:hAnsi="Arial" w:cs="Arial"/>
        </w:rPr>
        <w:t>Shell (Energie)</w:t>
      </w:r>
    </w:p>
    <w:p w14:paraId="4D6C10BA" w14:textId="77777777" w:rsidR="002359C5" w:rsidRDefault="002359C5" w:rsidP="002359C5">
      <w:pPr>
        <w:pStyle w:val="Listenabsatz"/>
        <w:numPr>
          <w:ilvl w:val="0"/>
          <w:numId w:val="1"/>
        </w:numPr>
        <w:rPr>
          <w:rFonts w:ascii="Arial" w:eastAsia="Times New Roman" w:hAnsi="Arial" w:cs="Arial"/>
        </w:rPr>
      </w:pPr>
      <w:r>
        <w:rPr>
          <w:rFonts w:ascii="Arial" w:eastAsia="Times New Roman" w:hAnsi="Arial" w:cs="Arial"/>
        </w:rPr>
        <w:t>KPN (Kommunikation)</w:t>
      </w:r>
    </w:p>
    <w:p w14:paraId="45CA9A6B" w14:textId="77777777" w:rsidR="002359C5" w:rsidRDefault="002359C5" w:rsidP="002359C5">
      <w:pPr>
        <w:pStyle w:val="Listenabsatz"/>
        <w:numPr>
          <w:ilvl w:val="0"/>
          <w:numId w:val="1"/>
        </w:numPr>
        <w:rPr>
          <w:rFonts w:ascii="Arial" w:eastAsia="Times New Roman" w:hAnsi="Arial" w:cs="Arial"/>
        </w:rPr>
      </w:pPr>
      <w:r>
        <w:rPr>
          <w:rFonts w:ascii="Arial" w:eastAsia="Times New Roman" w:hAnsi="Arial" w:cs="Arial"/>
        </w:rPr>
        <w:t xml:space="preserve">ABN </w:t>
      </w:r>
      <w:proofErr w:type="spellStart"/>
      <w:r>
        <w:rPr>
          <w:rFonts w:ascii="Arial" w:eastAsia="Times New Roman" w:hAnsi="Arial" w:cs="Arial"/>
        </w:rPr>
        <w:t>Amro</w:t>
      </w:r>
      <w:proofErr w:type="spellEnd"/>
      <w:r>
        <w:rPr>
          <w:rFonts w:ascii="Arial" w:eastAsia="Times New Roman" w:hAnsi="Arial" w:cs="Arial"/>
        </w:rPr>
        <w:t xml:space="preserve"> (Finanzen)</w:t>
      </w:r>
    </w:p>
    <w:p w14:paraId="0892D577" w14:textId="77777777" w:rsidR="002359C5" w:rsidRDefault="002359C5" w:rsidP="002359C5">
      <w:pPr>
        <w:pStyle w:val="Listenabsatz"/>
        <w:numPr>
          <w:ilvl w:val="0"/>
          <w:numId w:val="1"/>
        </w:numPr>
        <w:rPr>
          <w:rFonts w:ascii="Arial" w:eastAsia="Times New Roman" w:hAnsi="Arial" w:cs="Arial"/>
        </w:rPr>
      </w:pPr>
      <w:r>
        <w:rPr>
          <w:rFonts w:ascii="Arial" w:eastAsia="Times New Roman" w:hAnsi="Arial" w:cs="Arial"/>
        </w:rPr>
        <w:t>ING (Finanzen)</w:t>
      </w:r>
    </w:p>
    <w:p w14:paraId="0413DA80" w14:textId="77777777" w:rsidR="002359C5" w:rsidRDefault="002359C5" w:rsidP="002359C5">
      <w:pPr>
        <w:pStyle w:val="Listenabsatz"/>
        <w:numPr>
          <w:ilvl w:val="0"/>
          <w:numId w:val="1"/>
        </w:numPr>
        <w:rPr>
          <w:rFonts w:ascii="Arial" w:eastAsia="Times New Roman" w:hAnsi="Arial" w:cs="Arial"/>
        </w:rPr>
      </w:pPr>
      <w:proofErr w:type="spellStart"/>
      <w:r>
        <w:rPr>
          <w:rFonts w:ascii="Arial" w:eastAsia="Times New Roman" w:hAnsi="Arial" w:cs="Arial"/>
        </w:rPr>
        <w:t>PostNL</w:t>
      </w:r>
      <w:proofErr w:type="spellEnd"/>
      <w:r>
        <w:rPr>
          <w:rFonts w:ascii="Arial" w:eastAsia="Times New Roman" w:hAnsi="Arial" w:cs="Arial"/>
        </w:rPr>
        <w:t xml:space="preserve"> (Industrie)</w:t>
      </w:r>
    </w:p>
    <w:p w14:paraId="08B210AF" w14:textId="77777777" w:rsidR="002359C5" w:rsidRDefault="002359C5" w:rsidP="002359C5">
      <w:pPr>
        <w:pStyle w:val="Listenabsatz"/>
        <w:numPr>
          <w:ilvl w:val="0"/>
          <w:numId w:val="1"/>
        </w:numPr>
        <w:rPr>
          <w:rFonts w:ascii="Arial" w:eastAsia="Times New Roman" w:hAnsi="Arial" w:cs="Arial"/>
        </w:rPr>
      </w:pPr>
      <w:r>
        <w:rPr>
          <w:rFonts w:ascii="Arial" w:eastAsia="Times New Roman" w:hAnsi="Arial" w:cs="Arial"/>
        </w:rPr>
        <w:t>Aegon (Finanzen)</w:t>
      </w:r>
    </w:p>
    <w:p w14:paraId="3236B52F" w14:textId="77777777" w:rsidR="002359C5" w:rsidRDefault="002359C5" w:rsidP="002359C5">
      <w:pPr>
        <w:pStyle w:val="Listenabsatz"/>
        <w:numPr>
          <w:ilvl w:val="0"/>
          <w:numId w:val="1"/>
        </w:numPr>
        <w:rPr>
          <w:rFonts w:ascii="Arial" w:eastAsia="Times New Roman" w:hAnsi="Arial" w:cs="Arial"/>
        </w:rPr>
      </w:pPr>
      <w:r>
        <w:rPr>
          <w:rFonts w:ascii="Arial" w:eastAsia="Times New Roman" w:hAnsi="Arial" w:cs="Arial"/>
        </w:rPr>
        <w:t>NIO (Automobilindustrie)</w:t>
      </w:r>
    </w:p>
    <w:p w14:paraId="77D19AF8" w14:textId="77777777" w:rsidR="002359C5" w:rsidRDefault="002359C5" w:rsidP="002359C5">
      <w:pPr>
        <w:pStyle w:val="Listenabsatz"/>
        <w:numPr>
          <w:ilvl w:val="0"/>
          <w:numId w:val="1"/>
        </w:numPr>
        <w:rPr>
          <w:rFonts w:ascii="Arial" w:eastAsia="Times New Roman" w:hAnsi="Arial" w:cs="Arial"/>
          <w:lang w:val="en-GB"/>
        </w:rPr>
      </w:pPr>
      <w:r>
        <w:rPr>
          <w:rFonts w:ascii="Arial" w:eastAsia="Times New Roman" w:hAnsi="Arial" w:cs="Arial"/>
          <w:lang w:val="en-GB"/>
        </w:rPr>
        <w:t>Automation &amp; Robotics ETF (iShares) (ETF)</w:t>
      </w:r>
    </w:p>
    <w:p w14:paraId="3F332690" w14:textId="77777777" w:rsidR="002359C5" w:rsidRDefault="002359C5" w:rsidP="002359C5">
      <w:pPr>
        <w:rPr>
          <w:rFonts w:ascii="Arial" w:hAnsi="Arial" w:cs="Arial"/>
          <w:lang w:val="en-GB"/>
        </w:rPr>
      </w:pPr>
    </w:p>
    <w:p w14:paraId="285B2F91" w14:textId="77777777" w:rsidR="002359C5" w:rsidRDefault="002359C5" w:rsidP="002359C5">
      <w:pPr>
        <w:rPr>
          <w:rFonts w:ascii="Arial" w:hAnsi="Arial" w:cs="Arial"/>
          <w:lang w:val="en-GB"/>
        </w:rPr>
      </w:pPr>
    </w:p>
    <w:p w14:paraId="4D3C8B91" w14:textId="77777777" w:rsidR="002359C5" w:rsidRDefault="002359C5" w:rsidP="002359C5">
      <w:pPr>
        <w:rPr>
          <w:rFonts w:ascii="Arial" w:hAnsi="Arial" w:cs="Arial"/>
          <w:b/>
          <w:bCs/>
        </w:rPr>
      </w:pPr>
      <w:r>
        <w:rPr>
          <w:rFonts w:ascii="Arial" w:hAnsi="Arial" w:cs="Arial"/>
          <w:b/>
          <w:bCs/>
        </w:rPr>
        <w:t>Meistgekaufte Werte (Aktien &amp; ETFs) pro Land über BUX Zero im Jahr 2021*</w:t>
      </w:r>
    </w:p>
    <w:p w14:paraId="26C314DE" w14:textId="77777777" w:rsidR="002359C5" w:rsidRDefault="002359C5" w:rsidP="002359C5">
      <w:pPr>
        <w:pStyle w:val="Listenabsatz"/>
        <w:numPr>
          <w:ilvl w:val="0"/>
          <w:numId w:val="2"/>
        </w:numPr>
        <w:ind w:left="360"/>
        <w:rPr>
          <w:rFonts w:ascii="Arial" w:hAnsi="Arial" w:cs="Arial"/>
        </w:rPr>
      </w:pPr>
      <w:r>
        <w:rPr>
          <w:rFonts w:ascii="Arial" w:hAnsi="Arial" w:cs="Arial"/>
        </w:rPr>
        <w:t>Österreich: TUI (Tourismus)</w:t>
      </w:r>
    </w:p>
    <w:p w14:paraId="25043E4D" w14:textId="77777777" w:rsidR="002359C5" w:rsidRDefault="002359C5" w:rsidP="002359C5">
      <w:pPr>
        <w:pStyle w:val="Listenabsatz"/>
        <w:numPr>
          <w:ilvl w:val="0"/>
          <w:numId w:val="2"/>
        </w:numPr>
        <w:ind w:left="360"/>
        <w:rPr>
          <w:rFonts w:ascii="Arial" w:hAnsi="Arial" w:cs="Arial"/>
        </w:rPr>
      </w:pPr>
      <w:r>
        <w:rPr>
          <w:rFonts w:ascii="Arial" w:hAnsi="Arial" w:cs="Arial"/>
        </w:rPr>
        <w:t>Belgien: TUI (Tourismus)</w:t>
      </w:r>
    </w:p>
    <w:p w14:paraId="2ED6C58C" w14:textId="77777777" w:rsidR="002359C5" w:rsidRDefault="002359C5" w:rsidP="002359C5">
      <w:pPr>
        <w:pStyle w:val="Listenabsatz"/>
        <w:numPr>
          <w:ilvl w:val="0"/>
          <w:numId w:val="2"/>
        </w:numPr>
        <w:ind w:left="360"/>
        <w:rPr>
          <w:rFonts w:ascii="Arial" w:hAnsi="Arial" w:cs="Arial"/>
        </w:rPr>
      </w:pPr>
      <w:r>
        <w:rPr>
          <w:rFonts w:ascii="Arial" w:hAnsi="Arial" w:cs="Arial"/>
        </w:rPr>
        <w:t>Frankreich: Air France KLM (Tourismus)</w:t>
      </w:r>
    </w:p>
    <w:p w14:paraId="006560D5" w14:textId="77777777" w:rsidR="002359C5" w:rsidRDefault="002359C5" w:rsidP="002359C5">
      <w:pPr>
        <w:pStyle w:val="Listenabsatz"/>
        <w:numPr>
          <w:ilvl w:val="0"/>
          <w:numId w:val="2"/>
        </w:numPr>
        <w:ind w:left="360"/>
        <w:rPr>
          <w:rFonts w:ascii="Arial" w:hAnsi="Arial" w:cs="Arial"/>
        </w:rPr>
      </w:pPr>
      <w:r>
        <w:rPr>
          <w:rFonts w:ascii="Arial" w:hAnsi="Arial" w:cs="Arial"/>
        </w:rPr>
        <w:t>Deutschland: TUI (Tourismus)</w:t>
      </w:r>
    </w:p>
    <w:p w14:paraId="4C407E1B" w14:textId="77777777" w:rsidR="002359C5" w:rsidRDefault="002359C5" w:rsidP="002359C5">
      <w:pPr>
        <w:pStyle w:val="Listenabsatz"/>
        <w:numPr>
          <w:ilvl w:val="0"/>
          <w:numId w:val="2"/>
        </w:numPr>
        <w:ind w:left="360"/>
        <w:rPr>
          <w:rFonts w:ascii="Arial" w:hAnsi="Arial" w:cs="Arial"/>
          <w:lang w:val="en-GB"/>
        </w:rPr>
      </w:pPr>
      <w:proofErr w:type="spellStart"/>
      <w:r>
        <w:rPr>
          <w:rFonts w:ascii="Arial" w:hAnsi="Arial" w:cs="Arial"/>
          <w:lang w:val="en-GB"/>
        </w:rPr>
        <w:t>Irland</w:t>
      </w:r>
      <w:proofErr w:type="spellEnd"/>
      <w:r>
        <w:rPr>
          <w:rFonts w:ascii="Arial" w:hAnsi="Arial" w:cs="Arial"/>
          <w:lang w:val="en-GB"/>
        </w:rPr>
        <w:t>: S&amp;P 500 Index ETF (Vanguard) (ETF)**</w:t>
      </w:r>
    </w:p>
    <w:p w14:paraId="6132AA86" w14:textId="77777777" w:rsidR="002359C5" w:rsidRDefault="002359C5" w:rsidP="002359C5">
      <w:pPr>
        <w:pStyle w:val="Listenabsatz"/>
        <w:numPr>
          <w:ilvl w:val="0"/>
          <w:numId w:val="2"/>
        </w:numPr>
        <w:ind w:left="360"/>
        <w:rPr>
          <w:rFonts w:ascii="Arial" w:hAnsi="Arial" w:cs="Arial"/>
        </w:rPr>
      </w:pPr>
      <w:r>
        <w:rPr>
          <w:rFonts w:ascii="Arial" w:hAnsi="Arial" w:cs="Arial"/>
        </w:rPr>
        <w:t>Niederlande: Air France KLM (Tourismus)</w:t>
      </w:r>
    </w:p>
    <w:p w14:paraId="6FC4C14D" w14:textId="77777777" w:rsidR="002359C5" w:rsidRDefault="002359C5" w:rsidP="002359C5">
      <w:pPr>
        <w:pStyle w:val="Listenabsatz"/>
        <w:numPr>
          <w:ilvl w:val="0"/>
          <w:numId w:val="2"/>
        </w:numPr>
        <w:ind w:left="360"/>
        <w:rPr>
          <w:rFonts w:ascii="Arial" w:hAnsi="Arial" w:cs="Arial"/>
        </w:rPr>
      </w:pPr>
      <w:r>
        <w:rPr>
          <w:rFonts w:ascii="Arial" w:hAnsi="Arial" w:cs="Arial"/>
        </w:rPr>
        <w:t>Spanien: Banco Sabadell (Finanzen)**</w:t>
      </w:r>
    </w:p>
    <w:p w14:paraId="6A389304" w14:textId="77777777" w:rsidR="002359C5" w:rsidRDefault="002359C5" w:rsidP="002359C5">
      <w:pPr>
        <w:rPr>
          <w:rFonts w:ascii="Arial" w:hAnsi="Arial" w:cs="Arial"/>
        </w:rPr>
      </w:pPr>
    </w:p>
    <w:p w14:paraId="176CFDF6" w14:textId="77777777" w:rsidR="002359C5" w:rsidRDefault="002359C5" w:rsidP="002359C5">
      <w:pPr>
        <w:rPr>
          <w:rFonts w:ascii="Arial" w:hAnsi="Arial" w:cs="Arial"/>
        </w:rPr>
      </w:pPr>
    </w:p>
    <w:p w14:paraId="4B57835C" w14:textId="77777777" w:rsidR="002359C5" w:rsidRDefault="002359C5" w:rsidP="002359C5">
      <w:pPr>
        <w:rPr>
          <w:rFonts w:ascii="Arial" w:hAnsi="Arial" w:cs="Arial"/>
          <w:b/>
          <w:bCs/>
        </w:rPr>
      </w:pPr>
      <w:r>
        <w:rPr>
          <w:rFonts w:ascii="Arial" w:hAnsi="Arial" w:cs="Arial"/>
          <w:b/>
          <w:bCs/>
        </w:rPr>
        <w:t>ETFs bei BUX Zero-Kunden weiterhin beliebt</w:t>
      </w:r>
    </w:p>
    <w:p w14:paraId="775734B7" w14:textId="77777777" w:rsidR="002359C5" w:rsidRDefault="002359C5" w:rsidP="002359C5">
      <w:pPr>
        <w:rPr>
          <w:rFonts w:ascii="Arial" w:hAnsi="Arial" w:cs="Arial"/>
        </w:rPr>
      </w:pPr>
      <w:r>
        <w:rPr>
          <w:rFonts w:ascii="Arial" w:hAnsi="Arial" w:cs="Arial"/>
        </w:rPr>
        <w:t xml:space="preserve">Anfang 2021 wurde im NextGen-Bericht von BUX Zero festgestellt, dass sowohl die Generation Z als auch die Millennials eine mittel- bis langfristige Anlagestrategie verfolgen, indem sie vorrangig in ETFs investieren. Mit Blick auf das Jahresende bestätigen die Daten von BUX Zero einen weiteren Anstieg dieses Trends. Während BUX Zero Nutzer mit Stichtag 31. Dezember 2020 noch 4,3 % ihres Vermögens in ETFs investierten, waren es knapp ein Jahr später bereits 16,7 %, also rund das Vierfache. </w:t>
      </w:r>
    </w:p>
    <w:p w14:paraId="678E3794" w14:textId="77777777" w:rsidR="002359C5" w:rsidRDefault="002359C5" w:rsidP="002359C5">
      <w:pPr>
        <w:rPr>
          <w:rFonts w:ascii="Arial" w:hAnsi="Arial" w:cs="Arial"/>
        </w:rPr>
      </w:pPr>
    </w:p>
    <w:p w14:paraId="55F72692" w14:textId="77777777" w:rsidR="002359C5" w:rsidRDefault="002359C5" w:rsidP="002359C5">
      <w:pPr>
        <w:rPr>
          <w:rFonts w:ascii="Arial" w:hAnsi="Arial" w:cs="Arial"/>
        </w:rPr>
      </w:pPr>
      <w:r>
        <w:rPr>
          <w:rFonts w:ascii="Arial" w:hAnsi="Arial" w:cs="Arial"/>
        </w:rPr>
        <w:t>*** Im Jahr 2021 war der meistgekaufte ETF auf BUX Zero der Automation &amp; Robotics ETF (</w:t>
      </w:r>
      <w:proofErr w:type="spellStart"/>
      <w:r>
        <w:rPr>
          <w:rFonts w:ascii="Arial" w:hAnsi="Arial" w:cs="Arial"/>
        </w:rPr>
        <w:t>iShares</w:t>
      </w:r>
      <w:proofErr w:type="spellEnd"/>
      <w:r>
        <w:rPr>
          <w:rFonts w:ascii="Arial" w:hAnsi="Arial" w:cs="Arial"/>
        </w:rPr>
        <w:t>). Dieser ETF bildet rund 120 Unternehmen ab, die Technologien in den Bereichen Automatisierung und Robotik sowohl in Industrie- als auch in Schwellenländern entwickeln. Dazu gehören Unternehmen wie Qualcomm, AMD, Nvidia und Apple.</w:t>
      </w:r>
    </w:p>
    <w:p w14:paraId="058F87E8" w14:textId="77777777" w:rsidR="002359C5" w:rsidRDefault="002359C5" w:rsidP="002359C5">
      <w:pPr>
        <w:rPr>
          <w:rFonts w:ascii="Arial" w:hAnsi="Arial" w:cs="Arial"/>
        </w:rPr>
      </w:pPr>
    </w:p>
    <w:p w14:paraId="6E5D9317" w14:textId="77777777" w:rsidR="002359C5" w:rsidRDefault="002359C5" w:rsidP="002359C5">
      <w:pPr>
        <w:rPr>
          <w:rFonts w:ascii="Arial" w:hAnsi="Arial" w:cs="Arial"/>
          <w:b/>
          <w:bCs/>
        </w:rPr>
      </w:pPr>
      <w:r>
        <w:rPr>
          <w:rFonts w:ascii="Arial" w:hAnsi="Arial" w:cs="Arial"/>
          <w:b/>
          <w:bCs/>
        </w:rPr>
        <w:t>Top 10 der meistgekauften ETFs über BUX Zero im Jahr 2021*</w:t>
      </w:r>
    </w:p>
    <w:p w14:paraId="16E0C1F5" w14:textId="77777777" w:rsidR="002359C5" w:rsidRDefault="002359C5" w:rsidP="002359C5">
      <w:pPr>
        <w:pStyle w:val="Listenabsatz"/>
        <w:numPr>
          <w:ilvl w:val="0"/>
          <w:numId w:val="3"/>
        </w:numPr>
        <w:rPr>
          <w:rFonts w:ascii="Arial" w:eastAsia="Times New Roman" w:hAnsi="Arial" w:cs="Arial"/>
          <w:lang w:val="en-US"/>
        </w:rPr>
      </w:pPr>
      <w:proofErr w:type="spellStart"/>
      <w:r>
        <w:rPr>
          <w:rFonts w:ascii="Arial" w:eastAsia="Times New Roman" w:hAnsi="Arial" w:cs="Arial"/>
          <w:lang w:val="en-US"/>
        </w:rPr>
        <w:t>Automatisierung</w:t>
      </w:r>
      <w:proofErr w:type="spellEnd"/>
      <w:r>
        <w:rPr>
          <w:rFonts w:ascii="Arial" w:eastAsia="Times New Roman" w:hAnsi="Arial" w:cs="Arial"/>
          <w:lang w:val="en-US"/>
        </w:rPr>
        <w:t xml:space="preserve"> &amp; </w:t>
      </w:r>
      <w:proofErr w:type="spellStart"/>
      <w:r>
        <w:rPr>
          <w:rFonts w:ascii="Arial" w:eastAsia="Times New Roman" w:hAnsi="Arial" w:cs="Arial"/>
          <w:lang w:val="en-US"/>
        </w:rPr>
        <w:t>Robotik</w:t>
      </w:r>
      <w:proofErr w:type="spellEnd"/>
      <w:r>
        <w:rPr>
          <w:rFonts w:ascii="Arial" w:eastAsia="Times New Roman" w:hAnsi="Arial" w:cs="Arial"/>
          <w:lang w:val="en-US"/>
        </w:rPr>
        <w:t xml:space="preserve"> ETF (iShares) </w:t>
      </w:r>
    </w:p>
    <w:p w14:paraId="477D9D5C" w14:textId="77777777" w:rsidR="002359C5" w:rsidRDefault="002359C5" w:rsidP="002359C5">
      <w:pPr>
        <w:pStyle w:val="Listenabsatz"/>
        <w:numPr>
          <w:ilvl w:val="0"/>
          <w:numId w:val="3"/>
        </w:numPr>
        <w:rPr>
          <w:rFonts w:ascii="Arial" w:eastAsia="Times New Roman" w:hAnsi="Arial" w:cs="Arial"/>
          <w:lang w:val="en-US"/>
        </w:rPr>
      </w:pPr>
      <w:r>
        <w:rPr>
          <w:rFonts w:ascii="Arial" w:eastAsia="Times New Roman" w:hAnsi="Arial" w:cs="Arial"/>
          <w:lang w:val="en-US"/>
        </w:rPr>
        <w:t>S&amp;P 500 Index ETF (Vanguard)</w:t>
      </w:r>
    </w:p>
    <w:p w14:paraId="390AA598" w14:textId="77777777" w:rsidR="002359C5" w:rsidRDefault="002359C5" w:rsidP="002359C5">
      <w:pPr>
        <w:pStyle w:val="Listenabsatz"/>
        <w:numPr>
          <w:ilvl w:val="0"/>
          <w:numId w:val="3"/>
        </w:numPr>
        <w:rPr>
          <w:rFonts w:ascii="Arial" w:eastAsia="Times New Roman" w:hAnsi="Arial" w:cs="Arial"/>
        </w:rPr>
      </w:pPr>
      <w:r>
        <w:rPr>
          <w:rFonts w:ascii="Arial" w:eastAsia="Times New Roman" w:hAnsi="Arial" w:cs="Arial"/>
        </w:rPr>
        <w:t>Alle Welt-Dividenden-ETF (Vanguard)</w:t>
      </w:r>
    </w:p>
    <w:p w14:paraId="687F8385" w14:textId="77777777" w:rsidR="002359C5" w:rsidRDefault="002359C5" w:rsidP="002359C5">
      <w:pPr>
        <w:pStyle w:val="Listenabsatz"/>
        <w:numPr>
          <w:ilvl w:val="0"/>
          <w:numId w:val="3"/>
        </w:numPr>
        <w:rPr>
          <w:rFonts w:ascii="Arial" w:eastAsia="Times New Roman" w:hAnsi="Arial" w:cs="Arial"/>
        </w:rPr>
      </w:pPr>
      <w:r>
        <w:rPr>
          <w:rFonts w:ascii="Arial" w:eastAsia="Times New Roman" w:hAnsi="Arial" w:cs="Arial"/>
        </w:rPr>
        <w:t>Innovation im Gesundheitswesen ETF (</w:t>
      </w:r>
      <w:proofErr w:type="spellStart"/>
      <w:r>
        <w:rPr>
          <w:rFonts w:ascii="Arial" w:eastAsia="Times New Roman" w:hAnsi="Arial" w:cs="Arial"/>
        </w:rPr>
        <w:t>iShares</w:t>
      </w:r>
      <w:proofErr w:type="spellEnd"/>
      <w:r>
        <w:rPr>
          <w:rFonts w:ascii="Arial" w:eastAsia="Times New Roman" w:hAnsi="Arial" w:cs="Arial"/>
        </w:rPr>
        <w:t>)</w:t>
      </w:r>
    </w:p>
    <w:p w14:paraId="7EE57435" w14:textId="77777777" w:rsidR="002359C5" w:rsidRDefault="002359C5" w:rsidP="002359C5">
      <w:pPr>
        <w:pStyle w:val="Listenabsatz"/>
        <w:numPr>
          <w:ilvl w:val="0"/>
          <w:numId w:val="3"/>
        </w:numPr>
        <w:rPr>
          <w:rFonts w:ascii="Arial" w:eastAsia="Times New Roman" w:hAnsi="Arial" w:cs="Arial"/>
          <w:lang w:val="en-US"/>
        </w:rPr>
      </w:pPr>
      <w:r>
        <w:rPr>
          <w:rFonts w:ascii="Arial" w:eastAsia="Times New Roman" w:hAnsi="Arial" w:cs="Arial"/>
          <w:lang w:val="en-US"/>
        </w:rPr>
        <w:t>EU-</w:t>
      </w:r>
      <w:proofErr w:type="spellStart"/>
      <w:r>
        <w:rPr>
          <w:rFonts w:ascii="Arial" w:eastAsia="Times New Roman" w:hAnsi="Arial" w:cs="Arial"/>
          <w:lang w:val="en-US"/>
        </w:rPr>
        <w:t>Dividenden</w:t>
      </w:r>
      <w:proofErr w:type="spellEnd"/>
      <w:r>
        <w:rPr>
          <w:rFonts w:ascii="Arial" w:eastAsia="Times New Roman" w:hAnsi="Arial" w:cs="Arial"/>
          <w:lang w:val="en-US"/>
        </w:rPr>
        <w:t>-ETF (iShares)</w:t>
      </w:r>
    </w:p>
    <w:p w14:paraId="43A80EDD" w14:textId="77777777" w:rsidR="002359C5" w:rsidRDefault="002359C5" w:rsidP="002359C5">
      <w:pPr>
        <w:pStyle w:val="Listenabsatz"/>
        <w:numPr>
          <w:ilvl w:val="0"/>
          <w:numId w:val="3"/>
        </w:numPr>
        <w:rPr>
          <w:rFonts w:ascii="Arial" w:eastAsia="Times New Roman" w:hAnsi="Arial" w:cs="Arial"/>
          <w:lang w:val="en-US"/>
        </w:rPr>
      </w:pPr>
      <w:r>
        <w:rPr>
          <w:rFonts w:ascii="Arial" w:eastAsia="Times New Roman" w:hAnsi="Arial" w:cs="Arial"/>
          <w:lang w:val="en-US"/>
        </w:rPr>
        <w:t>All World Index ETF (</w:t>
      </w:r>
      <w:proofErr w:type="spellStart"/>
      <w:r>
        <w:rPr>
          <w:rFonts w:ascii="Arial" w:eastAsia="Times New Roman" w:hAnsi="Arial" w:cs="Arial"/>
          <w:lang w:val="en-US"/>
        </w:rPr>
        <w:t>Lyxor</w:t>
      </w:r>
      <w:proofErr w:type="spellEnd"/>
      <w:r>
        <w:rPr>
          <w:rFonts w:ascii="Arial" w:eastAsia="Times New Roman" w:hAnsi="Arial" w:cs="Arial"/>
          <w:lang w:val="en-US"/>
        </w:rPr>
        <w:t>)</w:t>
      </w:r>
    </w:p>
    <w:p w14:paraId="214F06A2" w14:textId="77777777" w:rsidR="002359C5" w:rsidRDefault="002359C5" w:rsidP="002359C5">
      <w:pPr>
        <w:pStyle w:val="Listenabsatz"/>
        <w:numPr>
          <w:ilvl w:val="0"/>
          <w:numId w:val="3"/>
        </w:numPr>
        <w:rPr>
          <w:rFonts w:ascii="Arial" w:eastAsia="Times New Roman" w:hAnsi="Arial" w:cs="Arial"/>
          <w:lang w:val="en-US"/>
        </w:rPr>
      </w:pPr>
      <w:r>
        <w:rPr>
          <w:rFonts w:ascii="Arial" w:eastAsia="Times New Roman" w:hAnsi="Arial" w:cs="Arial"/>
          <w:lang w:val="en-US"/>
        </w:rPr>
        <w:t>All World Socially Responsible ETF (</w:t>
      </w:r>
      <w:proofErr w:type="spellStart"/>
      <w:r>
        <w:rPr>
          <w:rFonts w:ascii="Arial" w:eastAsia="Times New Roman" w:hAnsi="Arial" w:cs="Arial"/>
          <w:lang w:val="en-US"/>
        </w:rPr>
        <w:t>Lyxor</w:t>
      </w:r>
      <w:proofErr w:type="spellEnd"/>
      <w:r>
        <w:rPr>
          <w:rFonts w:ascii="Arial" w:eastAsia="Times New Roman" w:hAnsi="Arial" w:cs="Arial"/>
          <w:lang w:val="en-US"/>
        </w:rPr>
        <w:t>)</w:t>
      </w:r>
    </w:p>
    <w:p w14:paraId="6FBE403A" w14:textId="77777777" w:rsidR="002359C5" w:rsidRDefault="002359C5" w:rsidP="002359C5">
      <w:pPr>
        <w:pStyle w:val="Listenabsatz"/>
        <w:numPr>
          <w:ilvl w:val="0"/>
          <w:numId w:val="3"/>
        </w:numPr>
        <w:rPr>
          <w:rFonts w:ascii="Arial" w:eastAsia="Times New Roman" w:hAnsi="Arial" w:cs="Arial"/>
        </w:rPr>
      </w:pPr>
      <w:proofErr w:type="spellStart"/>
      <w:r>
        <w:rPr>
          <w:rFonts w:ascii="Arial" w:eastAsia="Times New Roman" w:hAnsi="Arial" w:cs="Arial"/>
        </w:rPr>
        <w:t>Cybersecurity</w:t>
      </w:r>
      <w:proofErr w:type="spellEnd"/>
      <w:r>
        <w:rPr>
          <w:rFonts w:ascii="Arial" w:eastAsia="Times New Roman" w:hAnsi="Arial" w:cs="Arial"/>
        </w:rPr>
        <w:t xml:space="preserve"> und Datenschutz ETF (</w:t>
      </w:r>
      <w:proofErr w:type="spellStart"/>
      <w:r>
        <w:rPr>
          <w:rFonts w:ascii="Arial" w:eastAsia="Times New Roman" w:hAnsi="Arial" w:cs="Arial"/>
        </w:rPr>
        <w:t>Rize</w:t>
      </w:r>
      <w:proofErr w:type="spellEnd"/>
      <w:r>
        <w:rPr>
          <w:rFonts w:ascii="Arial" w:eastAsia="Times New Roman" w:hAnsi="Arial" w:cs="Arial"/>
        </w:rPr>
        <w:t>)</w:t>
      </w:r>
    </w:p>
    <w:p w14:paraId="70B2E6EE" w14:textId="77777777" w:rsidR="002359C5" w:rsidRDefault="002359C5" w:rsidP="002359C5">
      <w:pPr>
        <w:pStyle w:val="Listenabsatz"/>
        <w:numPr>
          <w:ilvl w:val="0"/>
          <w:numId w:val="3"/>
        </w:numPr>
        <w:rPr>
          <w:rFonts w:ascii="Arial" w:eastAsia="Times New Roman" w:hAnsi="Arial" w:cs="Arial"/>
          <w:lang w:val="en-US"/>
        </w:rPr>
      </w:pPr>
      <w:r>
        <w:rPr>
          <w:rFonts w:ascii="Arial" w:eastAsia="Times New Roman" w:hAnsi="Arial" w:cs="Arial"/>
          <w:lang w:val="en-US"/>
        </w:rPr>
        <w:t>EU-Top-50-Index (iShares)</w:t>
      </w:r>
    </w:p>
    <w:p w14:paraId="1A522E07" w14:textId="77777777" w:rsidR="002359C5" w:rsidRDefault="002359C5" w:rsidP="002359C5">
      <w:pPr>
        <w:pStyle w:val="Listenabsatz"/>
        <w:numPr>
          <w:ilvl w:val="0"/>
          <w:numId w:val="3"/>
        </w:numPr>
        <w:rPr>
          <w:rFonts w:ascii="Arial" w:eastAsia="Times New Roman" w:hAnsi="Arial" w:cs="Arial"/>
          <w:lang w:val="en-US"/>
        </w:rPr>
      </w:pPr>
      <w:r>
        <w:rPr>
          <w:rFonts w:ascii="Arial" w:eastAsia="Times New Roman" w:hAnsi="Arial" w:cs="Arial"/>
          <w:lang w:val="en-US"/>
        </w:rPr>
        <w:t>Nasdaq 100 Index ETF (iShares)</w:t>
      </w:r>
    </w:p>
    <w:p w14:paraId="5DBC75DE" w14:textId="77777777" w:rsidR="002359C5" w:rsidRDefault="002359C5" w:rsidP="002359C5">
      <w:pPr>
        <w:rPr>
          <w:rFonts w:ascii="Arial" w:hAnsi="Arial" w:cs="Arial"/>
          <w:lang w:val="en-US"/>
        </w:rPr>
      </w:pPr>
    </w:p>
    <w:p w14:paraId="2202AFC0" w14:textId="77777777" w:rsidR="002359C5" w:rsidRDefault="002359C5" w:rsidP="002359C5">
      <w:pPr>
        <w:rPr>
          <w:rFonts w:ascii="Arial" w:hAnsi="Arial" w:cs="Arial"/>
          <w:lang w:val="en-US"/>
        </w:rPr>
      </w:pPr>
    </w:p>
    <w:p w14:paraId="5C1D1404" w14:textId="77777777" w:rsidR="002359C5" w:rsidRDefault="002359C5" w:rsidP="002359C5">
      <w:pPr>
        <w:rPr>
          <w:rFonts w:ascii="Arial" w:hAnsi="Arial" w:cs="Arial"/>
          <w:b/>
          <w:bCs/>
        </w:rPr>
      </w:pPr>
      <w:r>
        <w:rPr>
          <w:rFonts w:ascii="Arial" w:hAnsi="Arial" w:cs="Arial"/>
          <w:b/>
          <w:bCs/>
        </w:rPr>
        <w:t>Meistgekaufte ETFs pro Land über BUX Zero im Jahr 2021*</w:t>
      </w:r>
    </w:p>
    <w:p w14:paraId="6295D14A" w14:textId="77777777" w:rsidR="002359C5" w:rsidRDefault="002359C5" w:rsidP="002359C5">
      <w:pPr>
        <w:pStyle w:val="Listenabsatz"/>
        <w:numPr>
          <w:ilvl w:val="0"/>
          <w:numId w:val="4"/>
        </w:numPr>
        <w:rPr>
          <w:rFonts w:ascii="Arial" w:eastAsia="Times New Roman" w:hAnsi="Arial" w:cs="Arial"/>
          <w:lang w:val="en-US"/>
        </w:rPr>
      </w:pPr>
      <w:proofErr w:type="spellStart"/>
      <w:r>
        <w:rPr>
          <w:rFonts w:ascii="Arial" w:eastAsia="Times New Roman" w:hAnsi="Arial" w:cs="Arial"/>
          <w:lang w:val="en-US"/>
        </w:rPr>
        <w:t>Österreich</w:t>
      </w:r>
      <w:proofErr w:type="spellEnd"/>
      <w:r>
        <w:rPr>
          <w:rFonts w:ascii="Arial" w:eastAsia="Times New Roman" w:hAnsi="Arial" w:cs="Arial"/>
          <w:lang w:val="en-US"/>
        </w:rPr>
        <w:t>: Automation &amp; Robotics ETF (iShares)</w:t>
      </w:r>
    </w:p>
    <w:p w14:paraId="288AFD0B" w14:textId="77777777" w:rsidR="002359C5" w:rsidRDefault="002359C5" w:rsidP="002359C5">
      <w:pPr>
        <w:pStyle w:val="Listenabsatz"/>
        <w:numPr>
          <w:ilvl w:val="0"/>
          <w:numId w:val="4"/>
        </w:numPr>
        <w:rPr>
          <w:rFonts w:ascii="Arial" w:eastAsia="Times New Roman" w:hAnsi="Arial" w:cs="Arial"/>
          <w:lang w:val="en-US"/>
        </w:rPr>
      </w:pPr>
      <w:proofErr w:type="spellStart"/>
      <w:r>
        <w:rPr>
          <w:rFonts w:ascii="Arial" w:eastAsia="Times New Roman" w:hAnsi="Arial" w:cs="Arial"/>
          <w:lang w:val="en-US"/>
        </w:rPr>
        <w:t>Belgien</w:t>
      </w:r>
      <w:proofErr w:type="spellEnd"/>
      <w:r>
        <w:rPr>
          <w:rFonts w:ascii="Arial" w:eastAsia="Times New Roman" w:hAnsi="Arial" w:cs="Arial"/>
          <w:lang w:val="en-US"/>
        </w:rPr>
        <w:t>: S&amp;P 500 Index ETF (Vanguard)</w:t>
      </w:r>
    </w:p>
    <w:p w14:paraId="771A5DD1" w14:textId="77777777" w:rsidR="002359C5" w:rsidRDefault="002359C5" w:rsidP="002359C5">
      <w:pPr>
        <w:pStyle w:val="Listenabsatz"/>
        <w:numPr>
          <w:ilvl w:val="0"/>
          <w:numId w:val="4"/>
        </w:numPr>
        <w:rPr>
          <w:rFonts w:ascii="Arial" w:eastAsia="Times New Roman" w:hAnsi="Arial" w:cs="Arial"/>
        </w:rPr>
      </w:pPr>
      <w:r>
        <w:rPr>
          <w:rFonts w:ascii="Arial" w:eastAsia="Times New Roman" w:hAnsi="Arial" w:cs="Arial"/>
        </w:rPr>
        <w:t>Frankreich: Automatisierung &amp; Robotik ETF (</w:t>
      </w:r>
      <w:proofErr w:type="spellStart"/>
      <w:r>
        <w:rPr>
          <w:rFonts w:ascii="Arial" w:eastAsia="Times New Roman" w:hAnsi="Arial" w:cs="Arial"/>
        </w:rPr>
        <w:t>iShares</w:t>
      </w:r>
      <w:proofErr w:type="spellEnd"/>
      <w:r>
        <w:rPr>
          <w:rFonts w:ascii="Arial" w:eastAsia="Times New Roman" w:hAnsi="Arial" w:cs="Arial"/>
        </w:rPr>
        <w:t>)</w:t>
      </w:r>
    </w:p>
    <w:p w14:paraId="498E1E6D" w14:textId="77777777" w:rsidR="002359C5" w:rsidRDefault="002359C5" w:rsidP="002359C5">
      <w:pPr>
        <w:pStyle w:val="Listenabsatz"/>
        <w:numPr>
          <w:ilvl w:val="0"/>
          <w:numId w:val="4"/>
        </w:numPr>
        <w:rPr>
          <w:rFonts w:ascii="Arial" w:eastAsia="Times New Roman" w:hAnsi="Arial" w:cs="Arial"/>
        </w:rPr>
      </w:pPr>
      <w:r>
        <w:rPr>
          <w:rFonts w:ascii="Arial" w:eastAsia="Times New Roman" w:hAnsi="Arial" w:cs="Arial"/>
        </w:rPr>
        <w:t>Deutschland: Automatisierung &amp; Robotik ETF (</w:t>
      </w:r>
      <w:proofErr w:type="spellStart"/>
      <w:r>
        <w:rPr>
          <w:rFonts w:ascii="Arial" w:eastAsia="Times New Roman" w:hAnsi="Arial" w:cs="Arial"/>
        </w:rPr>
        <w:t>iShares</w:t>
      </w:r>
      <w:proofErr w:type="spellEnd"/>
      <w:r>
        <w:rPr>
          <w:rFonts w:ascii="Arial" w:eastAsia="Times New Roman" w:hAnsi="Arial" w:cs="Arial"/>
        </w:rPr>
        <w:t>)</w:t>
      </w:r>
    </w:p>
    <w:p w14:paraId="6C320D0B" w14:textId="77777777" w:rsidR="002359C5" w:rsidRDefault="002359C5" w:rsidP="002359C5">
      <w:pPr>
        <w:pStyle w:val="Listenabsatz"/>
        <w:numPr>
          <w:ilvl w:val="0"/>
          <w:numId w:val="4"/>
        </w:numPr>
        <w:rPr>
          <w:rFonts w:ascii="Arial" w:eastAsia="Times New Roman" w:hAnsi="Arial" w:cs="Arial"/>
          <w:lang w:val="en-US"/>
        </w:rPr>
      </w:pPr>
      <w:proofErr w:type="spellStart"/>
      <w:r>
        <w:rPr>
          <w:rFonts w:ascii="Arial" w:eastAsia="Times New Roman" w:hAnsi="Arial" w:cs="Arial"/>
          <w:lang w:val="en-US"/>
        </w:rPr>
        <w:t>Irland</w:t>
      </w:r>
      <w:proofErr w:type="spellEnd"/>
      <w:r>
        <w:rPr>
          <w:rFonts w:ascii="Arial" w:eastAsia="Times New Roman" w:hAnsi="Arial" w:cs="Arial"/>
          <w:lang w:val="en-US"/>
        </w:rPr>
        <w:t>: S&amp;P 500 Index ETF (Vanguard) **</w:t>
      </w:r>
    </w:p>
    <w:p w14:paraId="572B49D8" w14:textId="77777777" w:rsidR="002359C5" w:rsidRDefault="002359C5" w:rsidP="002359C5">
      <w:pPr>
        <w:pStyle w:val="Listenabsatz"/>
        <w:numPr>
          <w:ilvl w:val="0"/>
          <w:numId w:val="4"/>
        </w:numPr>
        <w:rPr>
          <w:rFonts w:ascii="Arial" w:eastAsia="Times New Roman" w:hAnsi="Arial" w:cs="Arial"/>
        </w:rPr>
      </w:pPr>
      <w:r>
        <w:rPr>
          <w:rFonts w:ascii="Arial" w:eastAsia="Times New Roman" w:hAnsi="Arial" w:cs="Arial"/>
        </w:rPr>
        <w:t>Niederlande: Automatisierung &amp; Robotik ETF (</w:t>
      </w:r>
      <w:proofErr w:type="spellStart"/>
      <w:r>
        <w:rPr>
          <w:rFonts w:ascii="Arial" w:eastAsia="Times New Roman" w:hAnsi="Arial" w:cs="Arial"/>
        </w:rPr>
        <w:t>iShares</w:t>
      </w:r>
      <w:proofErr w:type="spellEnd"/>
      <w:r>
        <w:rPr>
          <w:rFonts w:ascii="Arial" w:eastAsia="Times New Roman" w:hAnsi="Arial" w:cs="Arial"/>
        </w:rPr>
        <w:t>)</w:t>
      </w:r>
    </w:p>
    <w:p w14:paraId="32BCBE35" w14:textId="77777777" w:rsidR="002359C5" w:rsidRDefault="002359C5" w:rsidP="002359C5">
      <w:pPr>
        <w:pStyle w:val="Listenabsatz"/>
        <w:numPr>
          <w:ilvl w:val="0"/>
          <w:numId w:val="4"/>
        </w:numPr>
        <w:rPr>
          <w:rFonts w:ascii="Arial" w:eastAsia="Times New Roman" w:hAnsi="Arial" w:cs="Arial"/>
        </w:rPr>
      </w:pPr>
      <w:r>
        <w:rPr>
          <w:rFonts w:ascii="Arial" w:eastAsia="Times New Roman" w:hAnsi="Arial" w:cs="Arial"/>
        </w:rPr>
        <w:t>Spanien: Automation &amp; Robotics ETF (</w:t>
      </w:r>
      <w:proofErr w:type="spellStart"/>
      <w:r>
        <w:rPr>
          <w:rFonts w:ascii="Arial" w:eastAsia="Times New Roman" w:hAnsi="Arial" w:cs="Arial"/>
        </w:rPr>
        <w:t>iShares</w:t>
      </w:r>
      <w:proofErr w:type="spellEnd"/>
      <w:r>
        <w:rPr>
          <w:rFonts w:ascii="Arial" w:eastAsia="Times New Roman" w:hAnsi="Arial" w:cs="Arial"/>
        </w:rPr>
        <w:t>) **</w:t>
      </w:r>
    </w:p>
    <w:p w14:paraId="0DD9CFD3" w14:textId="77777777" w:rsidR="002359C5" w:rsidRDefault="002359C5" w:rsidP="002359C5">
      <w:pPr>
        <w:rPr>
          <w:rFonts w:ascii="Arial" w:hAnsi="Arial" w:cs="Arial"/>
        </w:rPr>
      </w:pPr>
    </w:p>
    <w:p w14:paraId="78067996" w14:textId="77777777" w:rsidR="002359C5" w:rsidRDefault="002359C5" w:rsidP="002359C5">
      <w:pPr>
        <w:rPr>
          <w:rFonts w:ascii="Arial" w:hAnsi="Arial" w:cs="Arial"/>
        </w:rPr>
      </w:pPr>
    </w:p>
    <w:p w14:paraId="2B736894" w14:textId="77777777" w:rsidR="002359C5" w:rsidRDefault="002359C5" w:rsidP="002359C5">
      <w:pPr>
        <w:rPr>
          <w:rFonts w:ascii="Arial" w:hAnsi="Arial" w:cs="Arial"/>
          <w:i/>
          <w:iCs/>
        </w:rPr>
      </w:pPr>
    </w:p>
    <w:p w14:paraId="057FBDA0" w14:textId="77777777" w:rsidR="002359C5" w:rsidRDefault="002359C5" w:rsidP="002359C5">
      <w:pPr>
        <w:rPr>
          <w:rFonts w:ascii="Arial" w:hAnsi="Arial" w:cs="Arial"/>
          <w:i/>
          <w:iCs/>
        </w:rPr>
      </w:pPr>
      <w:r>
        <w:rPr>
          <w:rFonts w:ascii="Arial" w:hAnsi="Arial" w:cs="Arial"/>
          <w:b/>
          <w:bCs/>
          <w:i/>
          <w:iCs/>
        </w:rPr>
        <w:t>*</w:t>
      </w:r>
      <w:r>
        <w:rPr>
          <w:rFonts w:ascii="Arial" w:hAnsi="Arial" w:cs="Arial"/>
          <w:i/>
          <w:iCs/>
        </w:rPr>
        <w:t xml:space="preserve"> Zeitraum vom 1.01.2021 bis 25.11.2021, basierend auf dem Prozentsatz der Kunden, die den Titel auf BUX Zero kaufen.</w:t>
      </w:r>
    </w:p>
    <w:p w14:paraId="109A5E06" w14:textId="77777777" w:rsidR="002359C5" w:rsidRDefault="002359C5" w:rsidP="002359C5">
      <w:pPr>
        <w:rPr>
          <w:rFonts w:ascii="Arial" w:hAnsi="Arial" w:cs="Arial"/>
          <w:i/>
          <w:iCs/>
        </w:rPr>
      </w:pPr>
      <w:r>
        <w:rPr>
          <w:rFonts w:ascii="Arial" w:hAnsi="Arial" w:cs="Arial"/>
          <w:b/>
          <w:bCs/>
          <w:i/>
          <w:iCs/>
        </w:rPr>
        <w:t>**</w:t>
      </w:r>
      <w:r>
        <w:rPr>
          <w:rFonts w:ascii="Arial" w:hAnsi="Arial" w:cs="Arial"/>
          <w:i/>
          <w:iCs/>
        </w:rPr>
        <w:t xml:space="preserve"> BUX Zero ist seit Juni 2021 in Irland und seit November 2021 in Spanien verfügbar.</w:t>
      </w:r>
    </w:p>
    <w:p w14:paraId="0D15B6D1" w14:textId="77777777" w:rsidR="002359C5" w:rsidRDefault="002359C5" w:rsidP="002359C5">
      <w:pPr>
        <w:rPr>
          <w:rFonts w:ascii="Arial" w:hAnsi="Arial" w:cs="Arial"/>
          <w:i/>
          <w:iCs/>
        </w:rPr>
      </w:pPr>
      <w:r>
        <w:rPr>
          <w:rFonts w:ascii="Arial" w:hAnsi="Arial" w:cs="Arial"/>
          <w:b/>
          <w:bCs/>
          <w:i/>
          <w:iCs/>
        </w:rPr>
        <w:t xml:space="preserve">*** </w:t>
      </w:r>
      <w:r>
        <w:rPr>
          <w:rFonts w:ascii="Arial" w:hAnsi="Arial" w:cs="Arial"/>
          <w:i/>
          <w:iCs/>
        </w:rPr>
        <w:t>Wert am 29.11.2021</w:t>
      </w:r>
    </w:p>
    <w:p w14:paraId="151330F7" w14:textId="77777777" w:rsidR="002359C5" w:rsidRDefault="002359C5" w:rsidP="002359C5"/>
    <w:p w14:paraId="1C4A40AF" w14:textId="77777777" w:rsidR="002359C5" w:rsidRDefault="002359C5" w:rsidP="002359C5">
      <w:pPr>
        <w:rPr>
          <w:rFonts w:ascii="Arial" w:hAnsi="Arial" w:cs="Arial"/>
          <w:b/>
          <w:bCs/>
          <w:color w:val="000000"/>
          <w:lang w:eastAsia="de-AT"/>
        </w:rPr>
      </w:pPr>
    </w:p>
    <w:p w14:paraId="67A041F4" w14:textId="77777777" w:rsidR="002359C5" w:rsidRDefault="002359C5" w:rsidP="002359C5">
      <w:pPr>
        <w:rPr>
          <w:rFonts w:ascii="Arial" w:hAnsi="Arial" w:cs="Arial"/>
          <w:lang w:eastAsia="de-AT"/>
        </w:rPr>
      </w:pPr>
      <w:r>
        <w:rPr>
          <w:rFonts w:ascii="Arial" w:hAnsi="Arial" w:cs="Arial"/>
          <w:b/>
          <w:bCs/>
          <w:color w:val="000000"/>
          <w:lang w:eastAsia="de-AT"/>
        </w:rPr>
        <w:t>Über BUX</w:t>
      </w:r>
    </w:p>
    <w:p w14:paraId="0A0F1951" w14:textId="77777777" w:rsidR="002359C5" w:rsidRDefault="002359C5" w:rsidP="002359C5">
      <w:pPr>
        <w:rPr>
          <w:rFonts w:ascii="Arial" w:hAnsi="Arial" w:cs="Arial"/>
          <w:lang w:eastAsia="de-AT"/>
        </w:rPr>
      </w:pPr>
      <w:r>
        <w:rPr>
          <w:rFonts w:ascii="Arial" w:hAnsi="Arial" w:cs="Arial"/>
          <w:color w:val="333333"/>
          <w:lang w:eastAsia="de-AT"/>
        </w:rPr>
        <w:t>BUX ist mit insgesamt 600.000 Nutzern einer der führenden Neobroker Europas.</w:t>
      </w:r>
      <w:r>
        <w:rPr>
          <w:rFonts w:ascii="Arial" w:hAnsi="Arial" w:cs="Arial"/>
          <w:color w:val="000000"/>
          <w:lang w:eastAsia="de-AT"/>
        </w:rPr>
        <w:t xml:space="preserve"> Das 2014 gegründete Unternehmen bietet Anlegern die Möglichkeit an den Finanzmärkten zu investieren, um mehr aus ihrem Geld zu machen.</w:t>
      </w:r>
    </w:p>
    <w:p w14:paraId="004AEC95" w14:textId="77777777" w:rsidR="002359C5" w:rsidRDefault="002359C5" w:rsidP="002359C5">
      <w:pPr>
        <w:rPr>
          <w:rFonts w:ascii="Arial" w:hAnsi="Arial" w:cs="Arial"/>
          <w:lang w:eastAsia="de-AT"/>
        </w:rPr>
      </w:pPr>
      <w:r>
        <w:rPr>
          <w:rFonts w:ascii="Arial" w:hAnsi="Arial" w:cs="Arial"/>
          <w:color w:val="000000"/>
          <w:lang w:eastAsia="de-AT"/>
        </w:rPr>
        <w:br/>
        <w:t>Seit der Einführung von BUX Zero im Jahr 2019 bietet BUX den Anlegern eine intuitive, leicht zu bedienende App, mit der sie provisionsfrei in Aktien und ETFs investieren können. </w:t>
      </w:r>
    </w:p>
    <w:p w14:paraId="5562AD6D" w14:textId="77777777" w:rsidR="002359C5" w:rsidRDefault="002359C5" w:rsidP="002359C5">
      <w:pPr>
        <w:rPr>
          <w:rFonts w:ascii="Arial" w:hAnsi="Arial" w:cs="Arial"/>
          <w:color w:val="000000"/>
          <w:lang w:eastAsia="de-AT"/>
        </w:rPr>
      </w:pPr>
    </w:p>
    <w:p w14:paraId="45A40943" w14:textId="77777777" w:rsidR="002359C5" w:rsidRDefault="002359C5" w:rsidP="002359C5">
      <w:pPr>
        <w:rPr>
          <w:rFonts w:ascii="Arial" w:hAnsi="Arial" w:cs="Arial"/>
          <w:color w:val="000000"/>
          <w:lang w:eastAsia="de-AT"/>
        </w:rPr>
      </w:pPr>
      <w:r>
        <w:rPr>
          <w:rFonts w:ascii="Arial" w:hAnsi="Arial" w:cs="Arial"/>
          <w:color w:val="000000"/>
          <w:lang w:eastAsia="de-AT"/>
        </w:rPr>
        <w:t xml:space="preserve">BUX Zero ist derzeit in Deutschland, Österreich, Frankreich, Belgien, Spanien, Irland und den Niederlanden verfügbar. Zum BUX Portfolio gehören drei verschiedene Apps: BUX Zero, BUX X und BUX Crypto mit unterschiedlichen Investitionsansätzen. </w:t>
      </w:r>
    </w:p>
    <w:p w14:paraId="41042F53" w14:textId="77777777" w:rsidR="002359C5" w:rsidRDefault="002359C5" w:rsidP="002359C5">
      <w:pPr>
        <w:rPr>
          <w:rFonts w:ascii="Arial" w:hAnsi="Arial" w:cs="Arial"/>
          <w:color w:val="000000"/>
          <w:lang w:eastAsia="de-AT"/>
        </w:rPr>
      </w:pPr>
    </w:p>
    <w:p w14:paraId="589850C7" w14:textId="77777777" w:rsidR="002359C5" w:rsidRDefault="002359C5" w:rsidP="002359C5">
      <w:pPr>
        <w:rPr>
          <w:rFonts w:ascii="Arial" w:hAnsi="Arial" w:cs="Arial"/>
          <w:lang w:eastAsia="de-AT"/>
        </w:rPr>
      </w:pPr>
      <w:r>
        <w:rPr>
          <w:rFonts w:ascii="Arial" w:hAnsi="Arial" w:cs="Arial"/>
          <w:color w:val="000000"/>
          <w:lang w:eastAsia="de-AT"/>
        </w:rPr>
        <w:t xml:space="preserve">Namhafte Investoren wie Tencent, </w:t>
      </w:r>
      <w:proofErr w:type="spellStart"/>
      <w:r>
        <w:rPr>
          <w:rFonts w:ascii="Arial" w:hAnsi="Arial" w:cs="Arial"/>
          <w:color w:val="000000"/>
          <w:lang w:eastAsia="de-AT"/>
        </w:rPr>
        <w:t>Prosus</w:t>
      </w:r>
      <w:proofErr w:type="spellEnd"/>
      <w:r>
        <w:rPr>
          <w:rFonts w:ascii="Arial" w:hAnsi="Arial" w:cs="Arial"/>
          <w:color w:val="000000"/>
          <w:lang w:eastAsia="de-AT"/>
        </w:rPr>
        <w:t xml:space="preserve"> Ventures, HV Capital, Velocity Capital, ABN </w:t>
      </w:r>
      <w:proofErr w:type="spellStart"/>
      <w:r>
        <w:rPr>
          <w:rFonts w:ascii="Arial" w:hAnsi="Arial" w:cs="Arial"/>
          <w:color w:val="000000"/>
          <w:lang w:eastAsia="de-AT"/>
        </w:rPr>
        <w:t>Amro</w:t>
      </w:r>
      <w:proofErr w:type="spellEnd"/>
      <w:r>
        <w:rPr>
          <w:rFonts w:ascii="Arial" w:hAnsi="Arial" w:cs="Arial"/>
          <w:color w:val="000000"/>
          <w:lang w:eastAsia="de-AT"/>
        </w:rPr>
        <w:t xml:space="preserve"> Ventures, </w:t>
      </w:r>
      <w:proofErr w:type="spellStart"/>
      <w:r>
        <w:rPr>
          <w:rFonts w:ascii="Arial" w:hAnsi="Arial" w:cs="Arial"/>
          <w:color w:val="000000"/>
          <w:lang w:eastAsia="de-AT"/>
        </w:rPr>
        <w:t>Endeit</w:t>
      </w:r>
      <w:proofErr w:type="spellEnd"/>
      <w:r>
        <w:rPr>
          <w:rFonts w:ascii="Arial" w:hAnsi="Arial" w:cs="Arial"/>
          <w:color w:val="000000"/>
          <w:lang w:eastAsia="de-AT"/>
        </w:rPr>
        <w:t xml:space="preserve"> Capital, </w:t>
      </w:r>
      <w:proofErr w:type="spellStart"/>
      <w:r>
        <w:rPr>
          <w:rFonts w:ascii="Arial" w:hAnsi="Arial" w:cs="Arial"/>
          <w:color w:val="000000"/>
          <w:lang w:eastAsia="de-AT"/>
        </w:rPr>
        <w:t>Citius</w:t>
      </w:r>
      <w:proofErr w:type="spellEnd"/>
      <w:r>
        <w:rPr>
          <w:rFonts w:ascii="Arial" w:hAnsi="Arial" w:cs="Arial"/>
          <w:color w:val="000000"/>
          <w:lang w:eastAsia="de-AT"/>
        </w:rPr>
        <w:t xml:space="preserve"> und </w:t>
      </w:r>
      <w:proofErr w:type="spellStart"/>
      <w:r>
        <w:rPr>
          <w:rFonts w:ascii="Arial" w:hAnsi="Arial" w:cs="Arial"/>
          <w:color w:val="000000"/>
          <w:lang w:eastAsia="de-AT"/>
        </w:rPr>
        <w:t>Optiver</w:t>
      </w:r>
      <w:proofErr w:type="spellEnd"/>
      <w:r>
        <w:rPr>
          <w:rFonts w:ascii="Arial" w:hAnsi="Arial" w:cs="Arial"/>
          <w:color w:val="000000"/>
          <w:lang w:eastAsia="de-AT"/>
        </w:rPr>
        <w:t xml:space="preserve"> sind an BUX beteiligt.</w:t>
      </w:r>
    </w:p>
    <w:p w14:paraId="665FC306" w14:textId="77777777" w:rsidR="002359C5" w:rsidRDefault="002359C5" w:rsidP="002359C5">
      <w:pPr>
        <w:spacing w:line="276" w:lineRule="auto"/>
        <w:rPr>
          <w:rFonts w:ascii="Arial" w:hAnsi="Arial" w:cs="Arial"/>
          <w:lang w:eastAsia="de-AT"/>
        </w:rPr>
      </w:pPr>
    </w:p>
    <w:p w14:paraId="02C9AA21" w14:textId="77777777" w:rsidR="002359C5" w:rsidRDefault="002359C5" w:rsidP="002359C5">
      <w:pPr>
        <w:rPr>
          <w:rFonts w:ascii="Arial" w:hAnsi="Arial" w:cs="Arial"/>
          <w:color w:val="000000"/>
          <w:lang w:eastAsia="de-AT"/>
        </w:rPr>
      </w:pPr>
      <w:r>
        <w:rPr>
          <w:rFonts w:ascii="Arial" w:hAnsi="Arial" w:cs="Arial"/>
          <w:color w:val="000000"/>
          <w:lang w:eastAsia="de-AT"/>
        </w:rPr>
        <w:t xml:space="preserve">Mehr Informationen über BUX auf </w:t>
      </w:r>
      <w:hyperlink r:id="rId5" w:history="1">
        <w:r>
          <w:rPr>
            <w:rStyle w:val="Hyperlink"/>
            <w:rFonts w:ascii="Arial" w:hAnsi="Arial" w:cs="Arial"/>
            <w:color w:val="1155CC"/>
            <w:lang w:eastAsia="de-AT"/>
          </w:rPr>
          <w:t>https://getbux.com/de/</w:t>
        </w:r>
      </w:hyperlink>
      <w:r>
        <w:rPr>
          <w:rFonts w:ascii="Arial" w:hAnsi="Arial" w:cs="Arial"/>
          <w:color w:val="000000"/>
          <w:lang w:eastAsia="de-AT"/>
        </w:rPr>
        <w:t> </w:t>
      </w:r>
    </w:p>
    <w:p w14:paraId="0D906B83" w14:textId="77777777" w:rsidR="002359C5" w:rsidRDefault="002359C5" w:rsidP="002359C5">
      <w:pPr>
        <w:rPr>
          <w:rFonts w:ascii="Arial" w:hAnsi="Arial" w:cs="Arial"/>
          <w:color w:val="000000"/>
          <w:lang w:eastAsia="de-AT"/>
        </w:rPr>
      </w:pPr>
    </w:p>
    <w:p w14:paraId="78794AEB" w14:textId="77777777" w:rsidR="002359C5" w:rsidRDefault="002359C5" w:rsidP="002359C5">
      <w:pPr>
        <w:rPr>
          <w:rStyle w:val="Hyperlink"/>
        </w:rPr>
      </w:pPr>
      <w:r>
        <w:rPr>
          <w:rFonts w:ascii="Arial" w:hAnsi="Arial" w:cs="Arial"/>
        </w:rPr>
        <w:t>Pressekontakt:</w:t>
      </w:r>
      <w:r>
        <w:rPr>
          <w:rFonts w:ascii="Arial" w:hAnsi="Arial" w:cs="Arial"/>
        </w:rPr>
        <w:br/>
        <w:t>Thomas Reiter, Reiter PR</w:t>
      </w:r>
      <w:r>
        <w:rPr>
          <w:rFonts w:ascii="Arial" w:hAnsi="Arial" w:cs="Arial"/>
        </w:rPr>
        <w:br/>
        <w:t>Tel: +43 676 66 88 611</w:t>
      </w:r>
      <w:r>
        <w:rPr>
          <w:rFonts w:ascii="Arial" w:hAnsi="Arial" w:cs="Arial"/>
        </w:rPr>
        <w:br/>
        <w:t xml:space="preserve">E-Mail: </w:t>
      </w:r>
      <w:hyperlink r:id="rId6" w:history="1">
        <w:r>
          <w:rPr>
            <w:rStyle w:val="Hyperlink"/>
            <w:rFonts w:ascii="Arial" w:hAnsi="Arial" w:cs="Arial"/>
          </w:rPr>
          <w:t>thomas.reiter@reiterpr.com</w:t>
        </w:r>
      </w:hyperlink>
    </w:p>
    <w:p w14:paraId="603C1168" w14:textId="77777777" w:rsidR="002359C5" w:rsidRDefault="002359C5" w:rsidP="002359C5">
      <w:pPr>
        <w:rPr>
          <w:rStyle w:val="Hyperlink"/>
          <w:rFonts w:ascii="Arial" w:hAnsi="Arial" w:cs="Arial"/>
        </w:rPr>
      </w:pPr>
    </w:p>
    <w:p w14:paraId="0683F708" w14:textId="439DD1F3" w:rsidR="002359C5" w:rsidRPr="002359C5" w:rsidRDefault="002359C5" w:rsidP="002359C5">
      <w:pPr>
        <w:shd w:val="clear" w:color="auto" w:fill="FFFFFF"/>
        <w:jc w:val="both"/>
        <w:rPr>
          <w:color w:val="373737"/>
          <w:sz w:val="21"/>
          <w:szCs w:val="21"/>
          <w:shd w:val="clear" w:color="auto" w:fill="FFFFFF"/>
          <w:lang w:eastAsia="de-DE"/>
        </w:rPr>
      </w:pPr>
      <w:r>
        <w:rPr>
          <w:rFonts w:ascii="Arial" w:hAnsi="Arial" w:cs="Arial"/>
          <w:color w:val="000000"/>
          <w:sz w:val="21"/>
          <w:szCs w:val="21"/>
        </w:rPr>
        <w:t>Die Angaben sind ausschließlich zur Information bestimmt. Sie stellen keine Anlageberatung dar. Keine der Informationen begründet in irgendeinem Land und gegenüber irgendeiner Person eine Aufforderung, ein Angebot oder eine Empfehlung zum Verkauf oder zum Kauf von Finanzinstrumenten.</w:t>
      </w:r>
      <w:r>
        <w:rPr>
          <w:rFonts w:ascii="Arial" w:hAnsi="Arial" w:cs="Arial"/>
          <w:color w:val="373737"/>
          <w:sz w:val="21"/>
          <w:szCs w:val="21"/>
          <w:shd w:val="clear" w:color="auto" w:fill="FFFFFF"/>
          <w:lang w:eastAsia="de-DE"/>
        </w:rPr>
        <w:t xml:space="preserve"> </w:t>
      </w:r>
      <w:r>
        <w:rPr>
          <w:rFonts w:ascii="Arial" w:hAnsi="Arial" w:cs="Arial"/>
          <w:color w:val="000000"/>
          <w:sz w:val="21"/>
          <w:szCs w:val="21"/>
        </w:rPr>
        <w:t xml:space="preserve">BUX Zero haftet nicht für Schäden aufgrund von Handlungen, die ausgehend von der Benutzung, Leistung oder Abfrage dieser Website, im Zusammenhang mit dem Zugriff darauf entstehen könnten. </w:t>
      </w:r>
    </w:p>
    <w:sectPr w:rsidR="002359C5" w:rsidRPr="002359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F73"/>
    <w:multiLevelType w:val="hybridMultilevel"/>
    <w:tmpl w:val="FE5231C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02D41F80"/>
    <w:multiLevelType w:val="hybridMultilevel"/>
    <w:tmpl w:val="428A306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7EF5942"/>
    <w:multiLevelType w:val="hybridMultilevel"/>
    <w:tmpl w:val="F126F62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62F17B55"/>
    <w:multiLevelType w:val="hybridMultilevel"/>
    <w:tmpl w:val="A11EA2EC"/>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C5"/>
    <w:rsid w:val="002359C5"/>
    <w:rsid w:val="00F403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A214"/>
  <w15:chartTrackingRefBased/>
  <w15:docId w15:val="{D23F045E-6407-4C1B-8BD4-4EAFC4F0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59C5"/>
    <w:pPr>
      <w:spacing w:after="0" w:line="240" w:lineRule="auto"/>
    </w:pPr>
    <w:rPr>
      <w:rFonts w:ascii="Calibri" w:hAnsi="Calibri" w:cs="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359C5"/>
    <w:rPr>
      <w:color w:val="0563C1"/>
      <w:u w:val="single"/>
    </w:rPr>
  </w:style>
  <w:style w:type="paragraph" w:styleId="Listenabsatz">
    <w:name w:val="List Paragraph"/>
    <w:basedOn w:val="Standard"/>
    <w:uiPriority w:val="34"/>
    <w:qFormat/>
    <w:rsid w:val="00235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08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reiter@reiterpr.com" TargetMode="External"/><Relationship Id="rId5" Type="http://schemas.openxmlformats.org/officeDocument/2006/relationships/hyperlink" Target="https://getbux.com/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5553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Velan</dc:creator>
  <cp:keywords/>
  <dc:description/>
  <cp:lastModifiedBy>Madeleine Velan</cp:lastModifiedBy>
  <cp:revision>1</cp:revision>
  <dcterms:created xsi:type="dcterms:W3CDTF">2021-12-13T08:27:00Z</dcterms:created>
  <dcterms:modified xsi:type="dcterms:W3CDTF">2021-12-13T08:41:00Z</dcterms:modified>
</cp:coreProperties>
</file>