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7E707197" w:rsidR="003A0C89" w:rsidRPr="004C40DE" w:rsidRDefault="00347258"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t>Elektra Bregenz AG</w:t>
      </w:r>
      <w:r w:rsidR="003A0C89" w:rsidRPr="004C40DE">
        <w:rPr>
          <w:rFonts w:asciiTheme="minorHAnsi" w:hAnsiTheme="minorHAnsi" w:cstheme="minorHAnsi"/>
          <w:color w:val="000000"/>
          <w:sz w:val="22"/>
          <w:szCs w:val="22"/>
          <w:bdr w:val="none" w:sz="0" w:space="0" w:color="auto" w:frame="1"/>
        </w:rPr>
        <w:b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045089D0" w14:textId="6613ECDA" w:rsidR="00241905" w:rsidRPr="00B87EFB" w:rsidRDefault="00B87EFB" w:rsidP="00B87EFB">
      <w:pPr>
        <w:spacing w:before="100" w:beforeAutospacing="1" w:after="100" w:afterAutospacing="1"/>
        <w:jc w:val="center"/>
        <w:rPr>
          <w:rFonts w:ascii="Arial" w:hAnsi="Arial" w:cs="Arial"/>
          <w:color w:val="000000"/>
          <w:lang w:val="de-DE"/>
        </w:rPr>
      </w:pPr>
      <w:proofErr w:type="spellStart"/>
      <w:r w:rsidRPr="00B87EFB">
        <w:rPr>
          <w:rFonts w:ascii="Arial" w:hAnsi="Arial" w:cs="Arial"/>
          <w:b/>
          <w:bCs/>
          <w:color w:val="000000"/>
          <w:lang w:val="de-DE"/>
        </w:rPr>
        <w:t>Arçelik</w:t>
      </w:r>
      <w:proofErr w:type="spellEnd"/>
      <w:r w:rsidRPr="00B87EFB">
        <w:rPr>
          <w:rFonts w:ascii="Arial" w:hAnsi="Arial" w:cs="Arial"/>
          <w:b/>
          <w:bCs/>
          <w:color w:val="000000"/>
          <w:lang w:val="de-DE"/>
        </w:rPr>
        <w:t xml:space="preserve"> erhält das Terra </w:t>
      </w:r>
      <w:proofErr w:type="spellStart"/>
      <w:r w:rsidRPr="00B87EFB">
        <w:rPr>
          <w:rFonts w:ascii="Arial" w:hAnsi="Arial" w:cs="Arial"/>
          <w:b/>
          <w:bCs/>
          <w:color w:val="000000"/>
          <w:lang w:val="de-DE"/>
        </w:rPr>
        <w:t>Carta</w:t>
      </w:r>
      <w:proofErr w:type="spellEnd"/>
      <w:r w:rsidRPr="00B87EFB">
        <w:rPr>
          <w:rFonts w:ascii="Arial" w:hAnsi="Arial" w:cs="Arial"/>
          <w:b/>
          <w:bCs/>
          <w:color w:val="000000"/>
          <w:lang w:val="de-DE"/>
        </w:rPr>
        <w:t xml:space="preserve">-Siegel von Seiner Königlichen Hoheit, dem Prince </w:t>
      </w:r>
      <w:proofErr w:type="spellStart"/>
      <w:r w:rsidRPr="00B87EFB">
        <w:rPr>
          <w:rFonts w:ascii="Arial" w:hAnsi="Arial" w:cs="Arial"/>
          <w:b/>
          <w:bCs/>
          <w:color w:val="000000"/>
          <w:lang w:val="de-DE"/>
        </w:rPr>
        <w:t>of</w:t>
      </w:r>
      <w:proofErr w:type="spellEnd"/>
      <w:r w:rsidRPr="00B87EFB">
        <w:rPr>
          <w:rFonts w:ascii="Arial" w:hAnsi="Arial" w:cs="Arial"/>
          <w:b/>
          <w:bCs/>
          <w:color w:val="000000"/>
          <w:lang w:val="de-DE"/>
        </w:rPr>
        <w:t xml:space="preserve"> Wales, für den Einsatz zur Schaffung einer nachhaltigen Zukunft</w:t>
      </w:r>
    </w:p>
    <w:p w14:paraId="6E08FA8A" w14:textId="73753B91" w:rsidR="00B87EFB" w:rsidRPr="00B20657" w:rsidRDefault="0066169E" w:rsidP="00B87EFB">
      <w:pPr>
        <w:spacing w:before="100" w:beforeAutospacing="1" w:after="100" w:afterAutospacing="1"/>
        <w:jc w:val="both"/>
        <w:rPr>
          <w:rFonts w:ascii="Arial" w:hAnsi="Arial" w:cs="Arial"/>
          <w:color w:val="000000"/>
          <w:sz w:val="20"/>
          <w:szCs w:val="20"/>
          <w:lang w:val="de-DE"/>
        </w:rPr>
      </w:pPr>
      <w:r>
        <w:rPr>
          <w:rFonts w:asciiTheme="minorHAnsi" w:hAnsiTheme="minorHAnsi" w:cstheme="minorHAnsi"/>
          <w:color w:val="000000"/>
          <w:sz w:val="22"/>
          <w:szCs w:val="22"/>
          <w:bdr w:val="none" w:sz="0" w:space="0" w:color="auto" w:frame="1"/>
          <w:lang w:val="de-DE"/>
        </w:rPr>
        <w:br/>
      </w:r>
      <w:r w:rsidR="00B87EFB" w:rsidRPr="00B20657">
        <w:rPr>
          <w:rFonts w:ascii="Arial" w:hAnsi="Arial" w:cs="Arial"/>
          <w:color w:val="000000"/>
          <w:sz w:val="20"/>
          <w:szCs w:val="20"/>
          <w:lang w:val="de-DE"/>
        </w:rPr>
        <w:t xml:space="preserve">- Seine Königliche Hoheit, der Prinz von Wales, hat </w:t>
      </w:r>
      <w:r w:rsidR="00B87EFB">
        <w:rPr>
          <w:rFonts w:ascii="Arial" w:hAnsi="Arial" w:cs="Arial"/>
          <w:color w:val="000000"/>
          <w:sz w:val="20"/>
          <w:szCs w:val="20"/>
          <w:lang w:val="de-DE"/>
        </w:rPr>
        <w:t>vor wenigen Tagen</w:t>
      </w:r>
      <w:r w:rsidR="00B87EFB" w:rsidRPr="00B87EFB">
        <w:rPr>
          <w:rFonts w:ascii="Arial" w:hAnsi="Arial" w:cs="Arial"/>
          <w:color w:val="000000"/>
          <w:sz w:val="20"/>
          <w:szCs w:val="20"/>
          <w:lang w:val="de-DE"/>
        </w:rPr>
        <w:t xml:space="preserve"> im Rahmen </w:t>
      </w:r>
      <w:r w:rsidR="00B87EFB" w:rsidRPr="00B20657">
        <w:rPr>
          <w:rFonts w:ascii="Arial" w:hAnsi="Arial" w:cs="Arial"/>
          <w:color w:val="000000"/>
          <w:sz w:val="20"/>
          <w:szCs w:val="20"/>
          <w:lang w:val="de-DE"/>
        </w:rPr>
        <w:t>seiner Initiative für nachhaltige Märkte (</w:t>
      </w:r>
      <w:proofErr w:type="spellStart"/>
      <w:r w:rsidR="00B87EFB" w:rsidRPr="00B20657">
        <w:rPr>
          <w:rFonts w:ascii="Arial" w:hAnsi="Arial" w:cs="Arial"/>
          <w:color w:val="000000"/>
          <w:sz w:val="20"/>
          <w:szCs w:val="20"/>
          <w:lang w:val="de-DE"/>
        </w:rPr>
        <w:t>Sustainable</w:t>
      </w:r>
      <w:proofErr w:type="spellEnd"/>
      <w:r w:rsidR="00B87EFB" w:rsidRPr="00B20657">
        <w:rPr>
          <w:rFonts w:ascii="Arial" w:hAnsi="Arial" w:cs="Arial"/>
          <w:color w:val="000000"/>
          <w:sz w:val="20"/>
          <w:szCs w:val="20"/>
          <w:lang w:val="de-DE"/>
        </w:rPr>
        <w:t xml:space="preserve"> </w:t>
      </w:r>
      <w:proofErr w:type="spellStart"/>
      <w:r w:rsidR="00B87EFB" w:rsidRPr="00B20657">
        <w:rPr>
          <w:rFonts w:ascii="Arial" w:hAnsi="Arial" w:cs="Arial"/>
          <w:color w:val="000000"/>
          <w:sz w:val="20"/>
          <w:szCs w:val="20"/>
          <w:lang w:val="de-DE"/>
        </w:rPr>
        <w:t>Markets</w:t>
      </w:r>
      <w:proofErr w:type="spellEnd"/>
      <w:r w:rsidR="00B87EFB" w:rsidRPr="00B20657">
        <w:rPr>
          <w:rFonts w:ascii="Arial" w:hAnsi="Arial" w:cs="Arial"/>
          <w:color w:val="000000"/>
          <w:sz w:val="20"/>
          <w:szCs w:val="20"/>
          <w:lang w:val="de-DE"/>
        </w:rPr>
        <w:t xml:space="preserve"> Initiative, SMI) das Terra </w:t>
      </w:r>
      <w:proofErr w:type="spellStart"/>
      <w:r w:rsidR="00B87EFB" w:rsidRPr="00B20657">
        <w:rPr>
          <w:rFonts w:ascii="Arial" w:hAnsi="Arial" w:cs="Arial"/>
          <w:color w:val="000000"/>
          <w:sz w:val="20"/>
          <w:szCs w:val="20"/>
          <w:lang w:val="de-DE"/>
        </w:rPr>
        <w:t>Carta</w:t>
      </w:r>
      <w:proofErr w:type="spellEnd"/>
      <w:r w:rsidR="00B87EFB" w:rsidRPr="00B20657">
        <w:rPr>
          <w:rFonts w:ascii="Arial" w:hAnsi="Arial" w:cs="Arial"/>
          <w:color w:val="000000"/>
          <w:sz w:val="20"/>
          <w:szCs w:val="20"/>
          <w:lang w:val="de-DE"/>
        </w:rPr>
        <w:t xml:space="preserve">-Siegel vorgestellt, mit dem Unternehmen des privaten Sektors ausgezeichnet werden, die </w:t>
      </w:r>
      <w:r w:rsidR="00B87EFB">
        <w:rPr>
          <w:rFonts w:ascii="Arial" w:hAnsi="Arial" w:cs="Arial"/>
          <w:color w:val="000000"/>
          <w:sz w:val="20"/>
          <w:szCs w:val="20"/>
          <w:lang w:val="de-DE"/>
        </w:rPr>
        <w:t xml:space="preserve">einen führenden Beitrag für </w:t>
      </w:r>
      <w:r w:rsidR="00B87EFB" w:rsidRPr="00B20657">
        <w:rPr>
          <w:rFonts w:ascii="Arial" w:hAnsi="Arial" w:cs="Arial"/>
          <w:color w:val="000000"/>
          <w:sz w:val="20"/>
          <w:szCs w:val="20"/>
          <w:lang w:val="de-DE"/>
        </w:rPr>
        <w:t>nachhaltiger</w:t>
      </w:r>
      <w:r w:rsidR="00B87EFB">
        <w:rPr>
          <w:rFonts w:ascii="Arial" w:hAnsi="Arial" w:cs="Arial"/>
          <w:color w:val="000000"/>
          <w:sz w:val="20"/>
          <w:szCs w:val="20"/>
          <w:lang w:val="de-DE"/>
        </w:rPr>
        <w:t>e</w:t>
      </w:r>
      <w:r w:rsidR="00B87EFB" w:rsidRPr="00B20657">
        <w:rPr>
          <w:rFonts w:ascii="Arial" w:hAnsi="Arial" w:cs="Arial"/>
          <w:color w:val="000000"/>
          <w:sz w:val="20"/>
          <w:szCs w:val="20"/>
          <w:lang w:val="de-DE"/>
        </w:rPr>
        <w:t xml:space="preserve"> Märkte </w:t>
      </w:r>
      <w:r w:rsidR="00B87EFB">
        <w:rPr>
          <w:rFonts w:ascii="Arial" w:hAnsi="Arial" w:cs="Arial"/>
          <w:color w:val="000000"/>
          <w:sz w:val="20"/>
          <w:szCs w:val="20"/>
          <w:lang w:val="de-DE"/>
        </w:rPr>
        <w:t>leisten</w:t>
      </w:r>
      <w:r w:rsidR="00B87EFB" w:rsidRPr="00B20657">
        <w:rPr>
          <w:rFonts w:ascii="Arial" w:hAnsi="Arial" w:cs="Arial"/>
          <w:color w:val="000000"/>
          <w:sz w:val="20"/>
          <w:szCs w:val="20"/>
          <w:lang w:val="de-DE"/>
        </w:rPr>
        <w:t>.</w:t>
      </w:r>
    </w:p>
    <w:p w14:paraId="698069DB"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 </w:t>
      </w:r>
      <w:proofErr w:type="spellStart"/>
      <w:r w:rsidRPr="00B20657">
        <w:rPr>
          <w:rFonts w:ascii="Arial" w:hAnsi="Arial" w:cs="Arial"/>
          <w:color w:val="000000"/>
          <w:sz w:val="20"/>
          <w:szCs w:val="20"/>
          <w:lang w:val="de-DE"/>
        </w:rPr>
        <w:t>Arçelik</w:t>
      </w:r>
      <w:proofErr w:type="spellEnd"/>
      <w:r w:rsidRPr="00B20657">
        <w:rPr>
          <w:rFonts w:ascii="Arial" w:hAnsi="Arial" w:cs="Arial"/>
          <w:color w:val="000000"/>
          <w:sz w:val="20"/>
          <w:szCs w:val="20"/>
          <w:lang w:val="de-DE"/>
        </w:rPr>
        <w:t xml:space="preserve"> ist eines von 45 Unternehmen, d</w:t>
      </w:r>
      <w:r>
        <w:rPr>
          <w:rFonts w:ascii="Arial" w:hAnsi="Arial" w:cs="Arial"/>
          <w:color w:val="000000"/>
          <w:sz w:val="20"/>
          <w:szCs w:val="20"/>
          <w:lang w:val="de-DE"/>
        </w:rPr>
        <w:t>as</w:t>
      </w:r>
      <w:r w:rsidRPr="00B20657">
        <w:rPr>
          <w:rFonts w:ascii="Arial" w:hAnsi="Arial" w:cs="Arial"/>
          <w:color w:val="000000"/>
          <w:sz w:val="20"/>
          <w:szCs w:val="20"/>
          <w:lang w:val="de-DE"/>
        </w:rPr>
        <w:t xml:space="preserve"> mit dem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-Siegel ausgezeichnet wurde.</w:t>
      </w:r>
    </w:p>
    <w:p w14:paraId="7E69DBC9"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 Das von Sir </w:t>
      </w:r>
      <w:proofErr w:type="spellStart"/>
      <w:r w:rsidRPr="00B20657">
        <w:rPr>
          <w:rFonts w:ascii="Arial" w:hAnsi="Arial" w:cs="Arial"/>
          <w:color w:val="000000"/>
          <w:sz w:val="20"/>
          <w:szCs w:val="20"/>
          <w:lang w:val="de-DE"/>
        </w:rPr>
        <w:t>Jony</w:t>
      </w:r>
      <w:proofErr w:type="spellEnd"/>
      <w:r w:rsidRPr="00B20657">
        <w:rPr>
          <w:rFonts w:ascii="Arial" w:hAnsi="Arial" w:cs="Arial"/>
          <w:color w:val="000000"/>
          <w:sz w:val="20"/>
          <w:szCs w:val="20"/>
          <w:lang w:val="de-DE"/>
        </w:rPr>
        <w:t xml:space="preserve"> Ive entworfene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 xml:space="preserve">-Siegel </w:t>
      </w:r>
      <w:r>
        <w:rPr>
          <w:rFonts w:ascii="Arial" w:hAnsi="Arial" w:cs="Arial"/>
          <w:color w:val="000000"/>
          <w:sz w:val="20"/>
          <w:szCs w:val="20"/>
          <w:lang w:val="de-DE"/>
        </w:rPr>
        <w:t>symbolisiert</w:t>
      </w:r>
      <w:r w:rsidRPr="00B20657">
        <w:rPr>
          <w:rFonts w:ascii="Arial" w:hAnsi="Arial" w:cs="Arial"/>
          <w:color w:val="000000"/>
          <w:sz w:val="20"/>
          <w:szCs w:val="20"/>
          <w:lang w:val="de-DE"/>
        </w:rPr>
        <w:t xml:space="preserve"> die Vision und die Ambitionen der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 einem Plan zur Gesundung von Natur, Mensch und Planet.</w:t>
      </w:r>
    </w:p>
    <w:p w14:paraId="3E219712" w14:textId="5D35A62C" w:rsidR="00B87EFB" w:rsidRPr="00B20657" w:rsidRDefault="00B87EFB" w:rsidP="00B87EFB">
      <w:pPr>
        <w:spacing w:before="100" w:beforeAutospacing="1" w:after="100" w:afterAutospacing="1"/>
        <w:jc w:val="both"/>
        <w:rPr>
          <w:rFonts w:ascii="Arial" w:hAnsi="Arial" w:cs="Arial"/>
          <w:color w:val="000000"/>
          <w:sz w:val="20"/>
          <w:szCs w:val="20"/>
          <w:lang w:val="de-DE"/>
        </w:rPr>
      </w:pPr>
      <w:r>
        <w:rPr>
          <w:rFonts w:ascii="Arial" w:hAnsi="Arial" w:cs="Arial"/>
          <w:color w:val="000000"/>
          <w:sz w:val="20"/>
          <w:szCs w:val="20"/>
          <w:lang w:val="de-DE"/>
        </w:rPr>
        <w:t>Istanbul</w:t>
      </w:r>
      <w:r w:rsidR="00380C22">
        <w:rPr>
          <w:rFonts w:ascii="Arial" w:hAnsi="Arial" w:cs="Arial"/>
          <w:color w:val="000000"/>
          <w:sz w:val="20"/>
          <w:szCs w:val="20"/>
          <w:lang w:val="de-DE"/>
        </w:rPr>
        <w:t xml:space="preserve">, 8. </w:t>
      </w:r>
      <w:r w:rsidRPr="00B20657">
        <w:rPr>
          <w:rFonts w:ascii="Arial" w:hAnsi="Arial" w:cs="Arial"/>
          <w:color w:val="000000"/>
          <w:sz w:val="20"/>
          <w:szCs w:val="20"/>
          <w:lang w:val="de-DE"/>
        </w:rPr>
        <w:t xml:space="preserve">November 2021 </w:t>
      </w:r>
      <w:r w:rsidR="004C1789">
        <w:rPr>
          <w:rFonts w:ascii="Arial" w:hAnsi="Arial" w:cs="Arial"/>
          <w:color w:val="000000"/>
          <w:sz w:val="20"/>
          <w:szCs w:val="20"/>
          <w:lang w:val="de-DE"/>
        </w:rPr>
        <w:t>–</w:t>
      </w:r>
      <w:r w:rsidRPr="00B20657">
        <w:rPr>
          <w:rFonts w:ascii="Arial" w:hAnsi="Arial" w:cs="Arial"/>
          <w:color w:val="000000"/>
          <w:sz w:val="20"/>
          <w:szCs w:val="20"/>
          <w:lang w:val="de-DE"/>
        </w:rPr>
        <w:t xml:space="preserve"> </w:t>
      </w:r>
      <w:proofErr w:type="spellStart"/>
      <w:r w:rsidRPr="00B20657">
        <w:rPr>
          <w:rFonts w:ascii="Arial" w:hAnsi="Arial" w:cs="Arial"/>
          <w:color w:val="000000"/>
          <w:sz w:val="20"/>
          <w:szCs w:val="20"/>
          <w:lang w:val="de-DE"/>
        </w:rPr>
        <w:t>Arçelik</w:t>
      </w:r>
      <w:proofErr w:type="spellEnd"/>
      <w:r w:rsidR="004C1789">
        <w:rPr>
          <w:rFonts w:ascii="Arial" w:hAnsi="Arial" w:cs="Arial"/>
          <w:color w:val="000000"/>
          <w:sz w:val="20"/>
          <w:szCs w:val="20"/>
          <w:lang w:val="de-DE"/>
        </w:rPr>
        <w:t xml:space="preserve">, Muttergesellschaft von </w:t>
      </w:r>
      <w:proofErr w:type="spellStart"/>
      <w:r w:rsidR="004C1789">
        <w:rPr>
          <w:rFonts w:ascii="Arial" w:hAnsi="Arial" w:cs="Arial"/>
          <w:color w:val="000000"/>
          <w:sz w:val="20"/>
          <w:szCs w:val="20"/>
          <w:lang w:val="de-DE"/>
        </w:rPr>
        <w:t>Beko</w:t>
      </w:r>
      <w:proofErr w:type="spellEnd"/>
      <w:r w:rsidR="004C1789">
        <w:rPr>
          <w:rFonts w:ascii="Arial" w:hAnsi="Arial" w:cs="Arial"/>
          <w:color w:val="000000"/>
          <w:sz w:val="20"/>
          <w:szCs w:val="20"/>
          <w:lang w:val="de-DE"/>
        </w:rPr>
        <w:t xml:space="preserve">, </w:t>
      </w:r>
      <w:proofErr w:type="spellStart"/>
      <w:r w:rsidR="004C1789">
        <w:rPr>
          <w:rFonts w:ascii="Arial" w:hAnsi="Arial" w:cs="Arial"/>
          <w:color w:val="000000"/>
          <w:sz w:val="20"/>
          <w:szCs w:val="20"/>
          <w:lang w:val="de-DE"/>
        </w:rPr>
        <w:t>elektrabregenz</w:t>
      </w:r>
      <w:proofErr w:type="spellEnd"/>
      <w:r w:rsidR="004C1789">
        <w:rPr>
          <w:rFonts w:ascii="Arial" w:hAnsi="Arial" w:cs="Arial"/>
          <w:color w:val="000000"/>
          <w:sz w:val="20"/>
          <w:szCs w:val="20"/>
          <w:lang w:val="de-DE"/>
        </w:rPr>
        <w:t xml:space="preserve"> und Grundig,</w:t>
      </w:r>
      <w:r w:rsidRPr="00B20657">
        <w:rPr>
          <w:rFonts w:ascii="Arial" w:hAnsi="Arial" w:cs="Arial"/>
          <w:color w:val="000000"/>
          <w:sz w:val="20"/>
          <w:szCs w:val="20"/>
          <w:lang w:val="de-DE"/>
        </w:rPr>
        <w:t xml:space="preserve"> wurde mit dem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-Siegel ausgezeichnet.</w:t>
      </w:r>
    </w:p>
    <w:p w14:paraId="645B49FD" w14:textId="61301507" w:rsidR="00B87EFB"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Mit dem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 xml:space="preserve">-Siegel, das 2021 zum ersten Mal verliehen wurde, werden weltweit tätige Unternehmen ausgezeichnet, die </w:t>
      </w:r>
      <w:r w:rsidRPr="004566A8">
        <w:rPr>
          <w:rFonts w:ascii="Arial" w:hAnsi="Arial" w:cs="Arial"/>
          <w:color w:val="000000"/>
          <w:sz w:val="20"/>
          <w:szCs w:val="20"/>
          <w:lang w:val="de-DE"/>
        </w:rPr>
        <w:t xml:space="preserve">in ihrer Branche eine führende Position einnehmen und glaubwürdige, durch weltweit anerkannte, wissenschaftliche </w:t>
      </w:r>
      <w:r>
        <w:rPr>
          <w:rFonts w:ascii="Arial" w:hAnsi="Arial" w:cs="Arial"/>
          <w:color w:val="000000"/>
          <w:sz w:val="20"/>
          <w:szCs w:val="20"/>
          <w:lang w:val="de-DE"/>
        </w:rPr>
        <w:t xml:space="preserve">Daten </w:t>
      </w:r>
      <w:r w:rsidRPr="004566A8">
        <w:rPr>
          <w:rFonts w:ascii="Arial" w:hAnsi="Arial" w:cs="Arial"/>
          <w:color w:val="000000"/>
          <w:sz w:val="20"/>
          <w:szCs w:val="20"/>
          <w:lang w:val="de-DE"/>
        </w:rPr>
        <w:t>untermauerte Umstellungspläne für die Erreichung von Netto-Null bis 2050 oder früher haben.</w:t>
      </w:r>
      <w:r>
        <w:rPr>
          <w:rFonts w:ascii="Arial" w:hAnsi="Arial" w:cs="Arial"/>
          <w:color w:val="000000"/>
          <w:sz w:val="20"/>
          <w:szCs w:val="20"/>
          <w:lang w:val="de-DE"/>
        </w:rPr>
        <w:t xml:space="preserve"> Zudem müssen die </w:t>
      </w:r>
      <w:proofErr w:type="gramStart"/>
      <w:r>
        <w:rPr>
          <w:rFonts w:ascii="Arial" w:hAnsi="Arial" w:cs="Arial"/>
          <w:color w:val="000000"/>
          <w:sz w:val="20"/>
          <w:szCs w:val="20"/>
          <w:lang w:val="de-DE"/>
        </w:rPr>
        <w:t>Unternehmensziele</w:t>
      </w:r>
      <w:proofErr w:type="gramEnd"/>
      <w:r>
        <w:rPr>
          <w:rFonts w:ascii="Arial" w:hAnsi="Arial" w:cs="Arial"/>
          <w:color w:val="000000"/>
          <w:sz w:val="20"/>
          <w:szCs w:val="20"/>
          <w:lang w:val="de-DE"/>
        </w:rPr>
        <w:t xml:space="preserve"> </w:t>
      </w:r>
      <w:r w:rsidRPr="00B20657">
        <w:rPr>
          <w:rFonts w:ascii="Arial" w:hAnsi="Arial" w:cs="Arial"/>
          <w:color w:val="000000"/>
          <w:sz w:val="20"/>
          <w:szCs w:val="20"/>
          <w:lang w:val="de-DE"/>
        </w:rPr>
        <w:t xml:space="preserve">mit denen der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 xml:space="preserve"> übereinstimmen</w:t>
      </w:r>
      <w:r>
        <w:rPr>
          <w:rFonts w:ascii="Arial" w:hAnsi="Arial" w:cs="Arial"/>
          <w:color w:val="000000"/>
          <w:sz w:val="20"/>
          <w:szCs w:val="20"/>
          <w:lang w:val="de-DE"/>
        </w:rPr>
        <w:t xml:space="preserve">: mehr für die </w:t>
      </w:r>
      <w:r w:rsidRPr="00B20657">
        <w:rPr>
          <w:rFonts w:ascii="Arial" w:hAnsi="Arial" w:cs="Arial"/>
          <w:color w:val="000000"/>
          <w:sz w:val="20"/>
          <w:szCs w:val="20"/>
          <w:lang w:val="de-DE"/>
        </w:rPr>
        <w:t xml:space="preserve">Gesundung von Natur, </w:t>
      </w:r>
      <w:r>
        <w:rPr>
          <w:rFonts w:ascii="Arial" w:hAnsi="Arial" w:cs="Arial"/>
          <w:color w:val="000000"/>
          <w:sz w:val="20"/>
          <w:szCs w:val="20"/>
          <w:lang w:val="de-DE"/>
        </w:rPr>
        <w:t xml:space="preserve">Mensch und Planet beizutragen. </w:t>
      </w:r>
    </w:p>
    <w:p w14:paraId="15D5E239"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Seine Königliche Hoheit ist sehr erfreut über die Verpflichtung von </w:t>
      </w:r>
      <w:proofErr w:type="spellStart"/>
      <w:r w:rsidRPr="00B20657">
        <w:rPr>
          <w:rFonts w:ascii="Arial" w:hAnsi="Arial" w:cs="Arial"/>
          <w:color w:val="000000"/>
          <w:sz w:val="20"/>
          <w:szCs w:val="20"/>
          <w:lang w:val="de-DE"/>
        </w:rPr>
        <w:t>Arçelik</w:t>
      </w:r>
      <w:proofErr w:type="spellEnd"/>
      <w:r w:rsidRPr="00B20657">
        <w:rPr>
          <w:rFonts w:ascii="Arial" w:hAnsi="Arial" w:cs="Arial"/>
          <w:color w:val="000000"/>
          <w:sz w:val="20"/>
          <w:szCs w:val="20"/>
          <w:lang w:val="de-DE"/>
        </w:rPr>
        <w:t xml:space="preserve">, die </w:t>
      </w:r>
      <w:proofErr w:type="spellStart"/>
      <w:r w:rsidRPr="00B20657">
        <w:rPr>
          <w:rFonts w:ascii="Arial" w:hAnsi="Arial" w:cs="Arial"/>
          <w:color w:val="000000"/>
          <w:sz w:val="20"/>
          <w:szCs w:val="20"/>
          <w:lang w:val="de-DE"/>
        </w:rPr>
        <w:t>Scope</w:t>
      </w:r>
      <w:proofErr w:type="spellEnd"/>
      <w:r w:rsidRPr="00B20657">
        <w:rPr>
          <w:rFonts w:ascii="Arial" w:hAnsi="Arial" w:cs="Arial"/>
          <w:color w:val="000000"/>
          <w:sz w:val="20"/>
          <w:szCs w:val="20"/>
          <w:lang w:val="de-DE"/>
        </w:rPr>
        <w:t xml:space="preserve"> 1</w:t>
      </w:r>
      <w:r>
        <w:rPr>
          <w:rFonts w:ascii="Arial" w:hAnsi="Arial" w:cs="Arial"/>
          <w:color w:val="000000"/>
          <w:sz w:val="20"/>
          <w:szCs w:val="20"/>
          <w:lang w:val="de-DE"/>
        </w:rPr>
        <w:t xml:space="preserve"> </w:t>
      </w:r>
      <w:r w:rsidRPr="00B20657">
        <w:rPr>
          <w:rFonts w:ascii="Arial" w:hAnsi="Arial" w:cs="Arial"/>
          <w:color w:val="000000"/>
          <w:sz w:val="20"/>
          <w:szCs w:val="20"/>
          <w:lang w:val="de-DE"/>
        </w:rPr>
        <w:t>&amp;</w:t>
      </w:r>
      <w:r>
        <w:rPr>
          <w:rFonts w:ascii="Arial" w:hAnsi="Arial" w:cs="Arial"/>
          <w:color w:val="000000"/>
          <w:sz w:val="20"/>
          <w:szCs w:val="20"/>
          <w:lang w:val="de-DE"/>
        </w:rPr>
        <w:t xml:space="preserve"> </w:t>
      </w:r>
      <w:r w:rsidRPr="00B20657">
        <w:rPr>
          <w:rFonts w:ascii="Arial" w:hAnsi="Arial" w:cs="Arial"/>
          <w:color w:val="000000"/>
          <w:sz w:val="20"/>
          <w:szCs w:val="20"/>
          <w:lang w:val="de-DE"/>
        </w:rPr>
        <w:t>2 T</w:t>
      </w:r>
      <w:r>
        <w:rPr>
          <w:rFonts w:ascii="Arial" w:hAnsi="Arial" w:cs="Arial"/>
          <w:color w:val="000000"/>
          <w:sz w:val="20"/>
          <w:szCs w:val="20"/>
          <w:lang w:val="de-DE"/>
        </w:rPr>
        <w:t>reibhausgas</w:t>
      </w:r>
      <w:r w:rsidRPr="00B20657">
        <w:rPr>
          <w:rFonts w:ascii="Arial" w:hAnsi="Arial" w:cs="Arial"/>
          <w:color w:val="000000"/>
          <w:sz w:val="20"/>
          <w:szCs w:val="20"/>
          <w:lang w:val="de-DE"/>
        </w:rPr>
        <w:t xml:space="preserve">-Emissionen </w:t>
      </w:r>
      <w:r>
        <w:rPr>
          <w:rFonts w:ascii="Arial" w:hAnsi="Arial" w:cs="Arial"/>
          <w:color w:val="000000"/>
          <w:sz w:val="20"/>
          <w:szCs w:val="20"/>
          <w:lang w:val="de-DE"/>
        </w:rPr>
        <w:t xml:space="preserve">(THG) </w:t>
      </w:r>
      <w:r w:rsidRPr="00B20657">
        <w:rPr>
          <w:rFonts w:ascii="Arial" w:hAnsi="Arial" w:cs="Arial"/>
          <w:color w:val="000000"/>
          <w:sz w:val="20"/>
          <w:szCs w:val="20"/>
          <w:lang w:val="de-DE"/>
        </w:rPr>
        <w:t xml:space="preserve">um 30 % und die </w:t>
      </w:r>
      <w:proofErr w:type="spellStart"/>
      <w:r w:rsidRPr="00B20657">
        <w:rPr>
          <w:rFonts w:ascii="Arial" w:hAnsi="Arial" w:cs="Arial"/>
          <w:color w:val="000000"/>
          <w:sz w:val="20"/>
          <w:szCs w:val="20"/>
          <w:lang w:val="de-DE"/>
        </w:rPr>
        <w:t>Scope</w:t>
      </w:r>
      <w:proofErr w:type="spellEnd"/>
      <w:r w:rsidRPr="00B20657">
        <w:rPr>
          <w:rFonts w:ascii="Arial" w:hAnsi="Arial" w:cs="Arial"/>
          <w:color w:val="000000"/>
          <w:sz w:val="20"/>
          <w:szCs w:val="20"/>
          <w:lang w:val="de-DE"/>
        </w:rPr>
        <w:t xml:space="preserve"> 3-Emissionen aus der Nutzung der verkauften Produkte um 15 % ab 2030 im Vergleich zum Basisjahr 2018 zu reduzieren und bis 2050 über die gesamte Wertschöpfungskette hinweg Netto-Null-THG/CO2-Emissionen zu erreichen.</w:t>
      </w:r>
    </w:p>
    <w:p w14:paraId="49545735"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b/>
          <w:bCs/>
          <w:color w:val="000000"/>
          <w:sz w:val="20"/>
          <w:szCs w:val="20"/>
          <w:lang w:val="de-DE"/>
        </w:rPr>
        <w:t>Seine Königliche Hoheit, der Prinz von Wales, erklärte: </w:t>
      </w:r>
      <w:r w:rsidRPr="00B20657">
        <w:rPr>
          <w:rFonts w:ascii="Arial" w:hAnsi="Arial" w:cs="Arial"/>
          <w:i/>
          <w:iCs/>
          <w:color w:val="000000"/>
          <w:sz w:val="20"/>
          <w:szCs w:val="20"/>
          <w:lang w:val="de-DE"/>
        </w:rPr>
        <w:t xml:space="preserve">„Das Terra </w:t>
      </w:r>
      <w:proofErr w:type="spellStart"/>
      <w:r w:rsidRPr="00B20657">
        <w:rPr>
          <w:rFonts w:ascii="Arial" w:hAnsi="Arial" w:cs="Arial"/>
          <w:i/>
          <w:iCs/>
          <w:color w:val="000000"/>
          <w:sz w:val="20"/>
          <w:szCs w:val="20"/>
          <w:lang w:val="de-DE"/>
        </w:rPr>
        <w:t>Carta</w:t>
      </w:r>
      <w:proofErr w:type="spellEnd"/>
      <w:r w:rsidRPr="00B20657">
        <w:rPr>
          <w:rFonts w:ascii="Arial" w:hAnsi="Arial" w:cs="Arial"/>
          <w:i/>
          <w:iCs/>
          <w:color w:val="000000"/>
          <w:sz w:val="20"/>
          <w:szCs w:val="20"/>
          <w:lang w:val="de-DE"/>
        </w:rPr>
        <w:t xml:space="preserve">-Siegel zeichnet </w:t>
      </w:r>
      <w:r>
        <w:rPr>
          <w:rFonts w:ascii="Arial" w:hAnsi="Arial" w:cs="Arial"/>
          <w:i/>
          <w:iCs/>
          <w:color w:val="000000"/>
          <w:sz w:val="20"/>
          <w:szCs w:val="20"/>
          <w:lang w:val="de-DE"/>
        </w:rPr>
        <w:t>Unternehmen</w:t>
      </w:r>
      <w:r w:rsidRPr="00B20657">
        <w:rPr>
          <w:rFonts w:ascii="Arial" w:hAnsi="Arial" w:cs="Arial"/>
          <w:i/>
          <w:iCs/>
          <w:color w:val="000000"/>
          <w:sz w:val="20"/>
          <w:szCs w:val="20"/>
          <w:lang w:val="de-DE"/>
        </w:rPr>
        <w:t xml:space="preserve"> aus, die sich ernsthaft für eine nachhaltigere Zukunft einsetzen und die Natur, den Menschen und den Planeten in den Mittelpunkt der Wirtschaft stellen. Wir alle müssen etwas ändern, wenn wir den Planeten für unsere Kinder und Enkelkinder erhalten wollen, und diese Unternehmen haben sich verpflichtet, es uns allen leichter zu machen, dies zu tun."</w:t>
      </w:r>
    </w:p>
    <w:p w14:paraId="32B7364B" w14:textId="77777777" w:rsidR="00B87EFB"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Das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-Siegel trägt der Tatsache Rechnung, dass jeder Wirtschaftszweig bei seinem Übergang zu einer nachhaltigen Zukunft vor einzigartigen Herausforderungen steht und sich in verschiedenen Stadien seiner Entwicklung befindet. Hier müssen alle Branchen und alle Unternehmen unterstützt werden, wenn sie Schritte in eine positivere Richtung unternehmen. Gleichzeitig muss das Tempo beschleunigt werden, wenn das 1,5-Grad-Ziel erreich</w:t>
      </w:r>
      <w:r>
        <w:rPr>
          <w:rFonts w:ascii="Arial" w:hAnsi="Arial" w:cs="Arial"/>
          <w:color w:val="000000"/>
          <w:sz w:val="20"/>
          <w:szCs w:val="20"/>
          <w:lang w:val="de-DE"/>
        </w:rPr>
        <w:t>t</w:t>
      </w:r>
      <w:r w:rsidRPr="00B20657">
        <w:rPr>
          <w:rFonts w:ascii="Arial" w:hAnsi="Arial" w:cs="Arial"/>
          <w:color w:val="000000"/>
          <w:sz w:val="20"/>
          <w:szCs w:val="20"/>
          <w:lang w:val="de-DE"/>
        </w:rPr>
        <w:t>, die biologische Vielfalt wiederher</w:t>
      </w:r>
      <w:r>
        <w:rPr>
          <w:rFonts w:ascii="Arial" w:hAnsi="Arial" w:cs="Arial"/>
          <w:color w:val="000000"/>
          <w:sz w:val="20"/>
          <w:szCs w:val="20"/>
          <w:lang w:val="de-DE"/>
        </w:rPr>
        <w:t>ge</w:t>
      </w:r>
      <w:r w:rsidRPr="00B20657">
        <w:rPr>
          <w:rFonts w:ascii="Arial" w:hAnsi="Arial" w:cs="Arial"/>
          <w:color w:val="000000"/>
          <w:sz w:val="20"/>
          <w:szCs w:val="20"/>
          <w:lang w:val="de-DE"/>
        </w:rPr>
        <w:t>stell</w:t>
      </w:r>
      <w:r>
        <w:rPr>
          <w:rFonts w:ascii="Arial" w:hAnsi="Arial" w:cs="Arial"/>
          <w:color w:val="000000"/>
          <w:sz w:val="20"/>
          <w:szCs w:val="20"/>
          <w:lang w:val="de-DE"/>
        </w:rPr>
        <w:t>t</w:t>
      </w:r>
      <w:r w:rsidRPr="00B20657">
        <w:rPr>
          <w:rFonts w:ascii="Arial" w:hAnsi="Arial" w:cs="Arial"/>
          <w:color w:val="000000"/>
          <w:sz w:val="20"/>
          <w:szCs w:val="20"/>
          <w:lang w:val="de-DE"/>
        </w:rPr>
        <w:t xml:space="preserve"> und das Leben und die Lebensgrundlagen heutiger und künftiger Generationen </w:t>
      </w:r>
      <w:r>
        <w:rPr>
          <w:rFonts w:ascii="Arial" w:hAnsi="Arial" w:cs="Arial"/>
          <w:color w:val="000000"/>
          <w:sz w:val="20"/>
          <w:szCs w:val="20"/>
          <w:lang w:val="de-DE"/>
        </w:rPr>
        <w:t>gesichert werden sollen</w:t>
      </w:r>
      <w:r w:rsidRPr="00B20657">
        <w:rPr>
          <w:rFonts w:ascii="Arial" w:hAnsi="Arial" w:cs="Arial"/>
          <w:color w:val="000000"/>
          <w:sz w:val="20"/>
          <w:szCs w:val="20"/>
          <w:lang w:val="de-DE"/>
        </w:rPr>
        <w:t>.</w:t>
      </w:r>
    </w:p>
    <w:p w14:paraId="08006963" w14:textId="11CE3538" w:rsidR="00B87EFB" w:rsidRPr="00B87EFB" w:rsidRDefault="00B87EFB" w:rsidP="00B87EFB">
      <w:pPr>
        <w:spacing w:before="100" w:beforeAutospacing="1" w:after="100" w:afterAutospacing="1"/>
        <w:jc w:val="both"/>
        <w:rPr>
          <w:rFonts w:ascii="Arial" w:hAnsi="Arial" w:cs="Arial"/>
          <w:color w:val="000000"/>
          <w:sz w:val="20"/>
          <w:szCs w:val="20"/>
          <w:lang w:val="de-DE"/>
        </w:rPr>
      </w:pPr>
      <w:r w:rsidRPr="00B87EFB">
        <w:rPr>
          <w:rFonts w:ascii="Arial" w:hAnsi="Arial" w:cs="Arial"/>
          <w:color w:val="000000"/>
          <w:sz w:val="20"/>
          <w:szCs w:val="20"/>
          <w:lang w:val="de-DE"/>
        </w:rPr>
        <w:t>„</w:t>
      </w:r>
      <w:r w:rsidRPr="00B87EFB">
        <w:rPr>
          <w:rFonts w:ascii="Arial" w:hAnsi="Arial" w:cs="Arial"/>
          <w:i/>
          <w:iCs/>
          <w:color w:val="000000"/>
          <w:sz w:val="20"/>
          <w:szCs w:val="20"/>
          <w:lang w:val="de-DE"/>
        </w:rPr>
        <w:t xml:space="preserve">Es ist eine große Ehre, zu den führenden Unternehmen zu gehören, die von Seiner Königlichen Hoheit, dem Prince </w:t>
      </w:r>
      <w:proofErr w:type="spellStart"/>
      <w:r w:rsidRPr="00B87EFB">
        <w:rPr>
          <w:rFonts w:ascii="Arial" w:hAnsi="Arial" w:cs="Arial"/>
          <w:i/>
          <w:iCs/>
          <w:color w:val="000000"/>
          <w:sz w:val="20"/>
          <w:szCs w:val="20"/>
          <w:lang w:val="de-DE"/>
        </w:rPr>
        <w:t>of</w:t>
      </w:r>
      <w:proofErr w:type="spellEnd"/>
      <w:r w:rsidRPr="00B87EFB">
        <w:rPr>
          <w:rFonts w:ascii="Arial" w:hAnsi="Arial" w:cs="Arial"/>
          <w:i/>
          <w:iCs/>
          <w:color w:val="000000"/>
          <w:sz w:val="20"/>
          <w:szCs w:val="20"/>
          <w:lang w:val="de-DE"/>
        </w:rPr>
        <w:t xml:space="preserve"> Wales, anerkannt werden und das erste Terra </w:t>
      </w:r>
      <w:proofErr w:type="spellStart"/>
      <w:r w:rsidRPr="00B87EFB">
        <w:rPr>
          <w:rFonts w:ascii="Arial" w:hAnsi="Arial" w:cs="Arial"/>
          <w:i/>
          <w:iCs/>
          <w:color w:val="000000"/>
          <w:sz w:val="20"/>
          <w:szCs w:val="20"/>
          <w:lang w:val="de-DE"/>
        </w:rPr>
        <w:t>Carta</w:t>
      </w:r>
      <w:proofErr w:type="spellEnd"/>
      <w:r w:rsidRPr="00B87EFB">
        <w:rPr>
          <w:rFonts w:ascii="Arial" w:hAnsi="Arial" w:cs="Arial"/>
          <w:i/>
          <w:iCs/>
          <w:color w:val="000000"/>
          <w:sz w:val="20"/>
          <w:szCs w:val="20"/>
          <w:lang w:val="de-DE"/>
        </w:rPr>
        <w:t xml:space="preserve">-Siegel erhalten.  Eine nachhaltige Zukunft zu schaffen und sich ehrgeizige Ziele zu setzen, hat für </w:t>
      </w:r>
      <w:proofErr w:type="spellStart"/>
      <w:r w:rsidRPr="00B87EFB">
        <w:rPr>
          <w:rFonts w:ascii="Arial" w:hAnsi="Arial" w:cs="Arial"/>
          <w:i/>
          <w:iCs/>
          <w:color w:val="000000"/>
          <w:sz w:val="20"/>
          <w:szCs w:val="20"/>
          <w:lang w:val="de-DE"/>
        </w:rPr>
        <w:t>Arçe</w:t>
      </w:r>
      <w:r w:rsidRPr="00B20657">
        <w:rPr>
          <w:rFonts w:ascii="Arial" w:hAnsi="Arial" w:cs="Arial"/>
          <w:i/>
          <w:iCs/>
          <w:color w:val="000000"/>
          <w:sz w:val="20"/>
          <w:szCs w:val="20"/>
          <w:lang w:val="de-DE"/>
        </w:rPr>
        <w:t>lik</w:t>
      </w:r>
      <w:proofErr w:type="spellEnd"/>
      <w:r w:rsidRPr="00B20657">
        <w:rPr>
          <w:rFonts w:ascii="Arial" w:hAnsi="Arial" w:cs="Arial"/>
          <w:i/>
          <w:iCs/>
          <w:color w:val="000000"/>
          <w:sz w:val="20"/>
          <w:szCs w:val="20"/>
          <w:lang w:val="de-DE"/>
        </w:rPr>
        <w:t xml:space="preserve"> oberste Priorität, und die Auszeichnung zeigt, dass wir diese Verpflichtungen als Unternehmen leben. Wir setzen uns für die Schaffung </w:t>
      </w:r>
      <w:proofErr w:type="gramStart"/>
      <w:r w:rsidRPr="00B20657">
        <w:rPr>
          <w:rFonts w:ascii="Arial" w:hAnsi="Arial" w:cs="Arial"/>
          <w:i/>
          <w:iCs/>
          <w:color w:val="000000"/>
          <w:sz w:val="20"/>
          <w:szCs w:val="20"/>
          <w:lang w:val="de-DE"/>
        </w:rPr>
        <w:t>wirklich nachhaltiger</w:t>
      </w:r>
      <w:proofErr w:type="gramEnd"/>
      <w:r w:rsidRPr="00B20657">
        <w:rPr>
          <w:rFonts w:ascii="Arial" w:hAnsi="Arial" w:cs="Arial"/>
          <w:i/>
          <w:iCs/>
          <w:color w:val="000000"/>
          <w:sz w:val="20"/>
          <w:szCs w:val="20"/>
          <w:lang w:val="de-DE"/>
        </w:rPr>
        <w:t xml:space="preserve"> Märkte ein, die die Natur, die Menschen und den Planeten schonen</w:t>
      </w:r>
      <w:r w:rsidRPr="00B20657">
        <w:rPr>
          <w:rFonts w:ascii="Arial" w:hAnsi="Arial" w:cs="Arial"/>
          <w:color w:val="000000"/>
          <w:sz w:val="20"/>
          <w:szCs w:val="20"/>
          <w:lang w:val="de-DE"/>
        </w:rPr>
        <w:t>."</w:t>
      </w:r>
    </w:p>
    <w:p w14:paraId="12D79F15" w14:textId="5096DAED" w:rsidR="00B87EFB" w:rsidRPr="00B20657" w:rsidRDefault="00B87EFB" w:rsidP="00B87EFB">
      <w:pPr>
        <w:spacing w:before="100" w:beforeAutospacing="1" w:after="100" w:afterAutospacing="1"/>
        <w:jc w:val="both"/>
        <w:rPr>
          <w:rFonts w:ascii="Arial" w:hAnsi="Arial" w:cs="Arial"/>
          <w:color w:val="000000"/>
          <w:sz w:val="20"/>
          <w:szCs w:val="20"/>
          <w:lang w:val="de-DE"/>
        </w:rPr>
      </w:pPr>
      <w:r>
        <w:rPr>
          <w:rFonts w:ascii="Arial" w:hAnsi="Arial" w:cs="Arial"/>
          <w:color w:val="000000"/>
          <w:sz w:val="20"/>
          <w:szCs w:val="20"/>
          <w:lang w:val="de-DE"/>
        </w:rPr>
        <w:t>Vergangenen Mittwoch, am 3.11.2021,</w:t>
      </w:r>
      <w:r w:rsidRPr="00B87EFB">
        <w:rPr>
          <w:rFonts w:ascii="Arial" w:hAnsi="Arial" w:cs="Arial"/>
          <w:color w:val="000000"/>
          <w:sz w:val="20"/>
          <w:szCs w:val="20"/>
          <w:lang w:val="de-DE"/>
        </w:rPr>
        <w:t xml:space="preserve"> </w:t>
      </w:r>
      <w:r w:rsidRPr="00B20657">
        <w:rPr>
          <w:rFonts w:ascii="Arial" w:hAnsi="Arial" w:cs="Arial"/>
          <w:color w:val="000000"/>
          <w:sz w:val="20"/>
          <w:szCs w:val="20"/>
          <w:lang w:val="de-DE"/>
        </w:rPr>
        <w:t xml:space="preserve">traf der Prinz von Wales mit Hakan </w:t>
      </w:r>
      <w:proofErr w:type="spellStart"/>
      <w:r w:rsidRPr="00B20657">
        <w:rPr>
          <w:rFonts w:ascii="Arial" w:hAnsi="Arial" w:cs="Arial"/>
          <w:color w:val="000000"/>
          <w:sz w:val="20"/>
          <w:szCs w:val="20"/>
          <w:lang w:val="de-DE"/>
        </w:rPr>
        <w:t>Bulgurlu</w:t>
      </w:r>
      <w:proofErr w:type="spellEnd"/>
      <w:r w:rsidRPr="00B20657">
        <w:rPr>
          <w:rFonts w:ascii="Arial" w:hAnsi="Arial" w:cs="Arial"/>
          <w:color w:val="000000"/>
          <w:sz w:val="20"/>
          <w:szCs w:val="20"/>
          <w:lang w:val="de-DE"/>
        </w:rPr>
        <w:t xml:space="preserve"> und anderen CEOs zusammen, um ihre Auszeichnung und ihr Engagement im Kampf gegen den Klimawandel zu würdigen, die Herausforderungen zu erörtern, vor denen die einzelnen </w:t>
      </w:r>
      <w:r>
        <w:rPr>
          <w:rFonts w:ascii="Arial" w:hAnsi="Arial" w:cs="Arial"/>
          <w:color w:val="000000"/>
          <w:sz w:val="20"/>
          <w:szCs w:val="20"/>
          <w:lang w:val="de-DE"/>
        </w:rPr>
        <w:t>Unternehmen</w:t>
      </w:r>
      <w:r w:rsidRPr="00B87EFB">
        <w:rPr>
          <w:rFonts w:ascii="Arial" w:hAnsi="Arial" w:cs="Arial"/>
          <w:color w:val="000000"/>
          <w:sz w:val="20"/>
          <w:szCs w:val="20"/>
          <w:lang w:val="de-DE"/>
        </w:rPr>
        <w:t xml:space="preserve"> </w:t>
      </w:r>
      <w:r w:rsidRPr="00B20657">
        <w:rPr>
          <w:rFonts w:ascii="Arial" w:hAnsi="Arial" w:cs="Arial"/>
          <w:color w:val="000000"/>
          <w:sz w:val="20"/>
          <w:szCs w:val="20"/>
          <w:lang w:val="de-DE"/>
        </w:rPr>
        <w:t>und Branchen stehen, sowie Lösungen und die notwendigen Maßnahmen zu</w:t>
      </w:r>
      <w:r>
        <w:rPr>
          <w:rFonts w:ascii="Arial" w:hAnsi="Arial" w:cs="Arial"/>
          <w:color w:val="000000"/>
          <w:sz w:val="20"/>
          <w:szCs w:val="20"/>
          <w:lang w:val="de-DE"/>
        </w:rPr>
        <w:t xml:space="preserve"> identifizieren</w:t>
      </w:r>
      <w:r w:rsidRPr="00B20657">
        <w:rPr>
          <w:rFonts w:ascii="Arial" w:hAnsi="Arial" w:cs="Arial"/>
          <w:color w:val="000000"/>
          <w:sz w:val="20"/>
          <w:szCs w:val="20"/>
          <w:lang w:val="de-DE"/>
        </w:rPr>
        <w:t>, um den Wandel zu beschleunigen.</w:t>
      </w:r>
    </w:p>
    <w:p w14:paraId="74FEB13B"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lastRenderedPageBreak/>
        <w:t xml:space="preserve">In enger Zusammenarbeit mit Seiner Königlichen Hoheit, dem Prince </w:t>
      </w:r>
      <w:proofErr w:type="spellStart"/>
      <w:r w:rsidRPr="00B20657">
        <w:rPr>
          <w:rFonts w:ascii="Arial" w:hAnsi="Arial" w:cs="Arial"/>
          <w:color w:val="000000"/>
          <w:sz w:val="20"/>
          <w:szCs w:val="20"/>
          <w:lang w:val="de-DE"/>
        </w:rPr>
        <w:t>of</w:t>
      </w:r>
      <w:proofErr w:type="spellEnd"/>
      <w:r w:rsidRPr="00B20657">
        <w:rPr>
          <w:rFonts w:ascii="Arial" w:hAnsi="Arial" w:cs="Arial"/>
          <w:color w:val="000000"/>
          <w:sz w:val="20"/>
          <w:szCs w:val="20"/>
          <w:lang w:val="de-DE"/>
        </w:rPr>
        <w:t xml:space="preserve"> Wales, haben Sir </w:t>
      </w:r>
      <w:proofErr w:type="spellStart"/>
      <w:r w:rsidRPr="00B20657">
        <w:rPr>
          <w:rFonts w:ascii="Arial" w:hAnsi="Arial" w:cs="Arial"/>
          <w:color w:val="000000"/>
          <w:sz w:val="20"/>
          <w:szCs w:val="20"/>
          <w:lang w:val="de-DE"/>
        </w:rPr>
        <w:t>Jony</w:t>
      </w:r>
      <w:proofErr w:type="spellEnd"/>
      <w:r w:rsidRPr="00B20657">
        <w:rPr>
          <w:rFonts w:ascii="Arial" w:hAnsi="Arial" w:cs="Arial"/>
          <w:color w:val="000000"/>
          <w:sz w:val="20"/>
          <w:szCs w:val="20"/>
          <w:lang w:val="de-DE"/>
        </w:rPr>
        <w:t xml:space="preserve"> Ive und sein Kreativteam von </w:t>
      </w:r>
      <w:proofErr w:type="spellStart"/>
      <w:r w:rsidRPr="00B20657">
        <w:rPr>
          <w:rFonts w:ascii="Arial" w:hAnsi="Arial" w:cs="Arial"/>
          <w:color w:val="000000"/>
          <w:sz w:val="20"/>
          <w:szCs w:val="20"/>
          <w:lang w:val="de-DE"/>
        </w:rPr>
        <w:t>LoveFrom</w:t>
      </w:r>
      <w:proofErr w:type="spellEnd"/>
      <w:r w:rsidRPr="00B20657">
        <w:rPr>
          <w:rFonts w:ascii="Arial" w:hAnsi="Arial" w:cs="Arial"/>
          <w:color w:val="000000"/>
          <w:sz w:val="20"/>
          <w:szCs w:val="20"/>
          <w:lang w:val="de-DE"/>
        </w:rPr>
        <w:t xml:space="preserve"> ein Siegel entwickelt, das sowohl einfach als auch wunderschön gestaltet ist. Das Design kombiniert eine Vielzahl natürlicher Referenzen wie Eichenblätter, Farn, Magnolien und Honigbienen mit verschlungenen Mustern aus der Natur und der Kunst und schafft so ein visuelles Werk, das die Kraft und die Ehrfurcht vor der Natur widerspiegelt, die im Mittelpunkt der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 xml:space="preserve"> stehen.</w:t>
      </w:r>
    </w:p>
    <w:p w14:paraId="69E22502" w14:textId="51EB4EAB"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i/>
          <w:iCs/>
          <w:color w:val="000000"/>
          <w:sz w:val="20"/>
          <w:szCs w:val="20"/>
          <w:lang w:val="de-DE"/>
        </w:rPr>
        <w:t xml:space="preserve">„Unter Berücksichtigung der historischen Bedeutung der Terra </w:t>
      </w:r>
      <w:proofErr w:type="spellStart"/>
      <w:r w:rsidRPr="00B20657">
        <w:rPr>
          <w:rFonts w:ascii="Arial" w:hAnsi="Arial" w:cs="Arial"/>
          <w:i/>
          <w:iCs/>
          <w:color w:val="000000"/>
          <w:sz w:val="20"/>
          <w:szCs w:val="20"/>
          <w:lang w:val="de-DE"/>
        </w:rPr>
        <w:t>Carta</w:t>
      </w:r>
      <w:proofErr w:type="spellEnd"/>
      <w:r w:rsidRPr="00B20657">
        <w:rPr>
          <w:rFonts w:ascii="Arial" w:hAnsi="Arial" w:cs="Arial"/>
          <w:i/>
          <w:iCs/>
          <w:color w:val="000000"/>
          <w:sz w:val="20"/>
          <w:szCs w:val="20"/>
          <w:lang w:val="de-DE"/>
        </w:rPr>
        <w:t xml:space="preserve"> und voller Respekt für die Umwelt haben wir schlichte, natürliche Materialien verwendet und die Handwerkskunst mit einem filigranen, illustrierten Design gefeiert", </w:t>
      </w:r>
      <w:r w:rsidRPr="00B20657">
        <w:rPr>
          <w:rFonts w:ascii="Arial" w:hAnsi="Arial" w:cs="Arial"/>
          <w:b/>
          <w:bCs/>
          <w:i/>
          <w:iCs/>
          <w:color w:val="000000"/>
          <w:sz w:val="20"/>
          <w:szCs w:val="20"/>
          <w:lang w:val="de-DE"/>
        </w:rPr>
        <w:t xml:space="preserve">so Sir </w:t>
      </w:r>
      <w:proofErr w:type="spellStart"/>
      <w:r w:rsidRPr="00B20657">
        <w:rPr>
          <w:rFonts w:ascii="Arial" w:hAnsi="Arial" w:cs="Arial"/>
          <w:b/>
          <w:bCs/>
          <w:i/>
          <w:iCs/>
          <w:color w:val="000000"/>
          <w:sz w:val="20"/>
          <w:szCs w:val="20"/>
          <w:lang w:val="de-DE"/>
        </w:rPr>
        <w:t>Jony</w:t>
      </w:r>
      <w:proofErr w:type="spellEnd"/>
      <w:r w:rsidRPr="00B20657">
        <w:rPr>
          <w:rFonts w:ascii="Arial" w:hAnsi="Arial" w:cs="Arial"/>
          <w:b/>
          <w:bCs/>
          <w:i/>
          <w:iCs/>
          <w:color w:val="000000"/>
          <w:sz w:val="20"/>
          <w:szCs w:val="20"/>
          <w:lang w:val="de-DE"/>
        </w:rPr>
        <w:t xml:space="preserve"> Ive</w:t>
      </w:r>
      <w:r w:rsidRPr="00B20657">
        <w:rPr>
          <w:rFonts w:ascii="Arial" w:hAnsi="Arial" w:cs="Arial"/>
          <w:i/>
          <w:iCs/>
          <w:color w:val="000000"/>
          <w:sz w:val="20"/>
          <w:szCs w:val="20"/>
          <w:lang w:val="de-DE"/>
        </w:rPr>
        <w:t xml:space="preserve">. „Hiermit </w:t>
      </w:r>
      <w:r>
        <w:rPr>
          <w:rFonts w:ascii="Arial" w:hAnsi="Arial" w:cs="Arial"/>
          <w:i/>
          <w:iCs/>
          <w:color w:val="000000"/>
          <w:sz w:val="20"/>
          <w:szCs w:val="20"/>
          <w:lang w:val="de-DE"/>
        </w:rPr>
        <w:t xml:space="preserve">würdigen </w:t>
      </w:r>
      <w:r w:rsidRPr="00B20657">
        <w:rPr>
          <w:rFonts w:ascii="Arial" w:hAnsi="Arial" w:cs="Arial"/>
          <w:i/>
          <w:iCs/>
          <w:color w:val="000000"/>
          <w:sz w:val="20"/>
          <w:szCs w:val="20"/>
          <w:lang w:val="de-DE"/>
        </w:rPr>
        <w:t xml:space="preserve">wir denjenigen, die sich für die Ziele der Terra </w:t>
      </w:r>
      <w:proofErr w:type="spellStart"/>
      <w:r w:rsidRPr="00B20657">
        <w:rPr>
          <w:rFonts w:ascii="Arial" w:hAnsi="Arial" w:cs="Arial"/>
          <w:i/>
          <w:iCs/>
          <w:color w:val="000000"/>
          <w:sz w:val="20"/>
          <w:szCs w:val="20"/>
          <w:lang w:val="de-DE"/>
        </w:rPr>
        <w:t>Carta</w:t>
      </w:r>
      <w:proofErr w:type="spellEnd"/>
      <w:r w:rsidRPr="00B20657">
        <w:rPr>
          <w:rFonts w:ascii="Arial" w:hAnsi="Arial" w:cs="Arial"/>
          <w:i/>
          <w:iCs/>
          <w:color w:val="000000"/>
          <w:sz w:val="20"/>
          <w:szCs w:val="20"/>
          <w:lang w:val="de-DE"/>
        </w:rPr>
        <w:t xml:space="preserve"> eingesetzt haben, und wir sind sehr dankbar, dass wir einen Beitrag zu einer so wichtigen und wirkungsvollen Initiative leisten können."</w:t>
      </w:r>
    </w:p>
    <w:p w14:paraId="23B2B23E"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b/>
          <w:bCs/>
          <w:color w:val="000000"/>
          <w:sz w:val="20"/>
          <w:szCs w:val="20"/>
          <w:lang w:val="de-DE"/>
        </w:rPr>
        <w:t xml:space="preserve">Informationen zum Terra </w:t>
      </w:r>
      <w:proofErr w:type="spellStart"/>
      <w:r w:rsidRPr="00B20657">
        <w:rPr>
          <w:rFonts w:ascii="Arial" w:hAnsi="Arial" w:cs="Arial"/>
          <w:b/>
          <w:bCs/>
          <w:color w:val="000000"/>
          <w:sz w:val="20"/>
          <w:szCs w:val="20"/>
          <w:lang w:val="de-DE"/>
        </w:rPr>
        <w:t>Carta</w:t>
      </w:r>
      <w:proofErr w:type="spellEnd"/>
      <w:r w:rsidRPr="00B20657">
        <w:rPr>
          <w:rFonts w:ascii="Arial" w:hAnsi="Arial" w:cs="Arial"/>
          <w:b/>
          <w:bCs/>
          <w:color w:val="000000"/>
          <w:sz w:val="20"/>
          <w:szCs w:val="20"/>
          <w:lang w:val="de-DE"/>
        </w:rPr>
        <w:t>-Siegel</w:t>
      </w:r>
    </w:p>
    <w:p w14:paraId="196CB94F"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Mit dem 2021 erstmals verliehenen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 xml:space="preserve">-Siegel werden weltweit tätige Unternehmen ausgezeichnet, die ihr Engagement für die Schaffung wirklich nachhaltiger Märkte unter Beweis stellen. Es wird Unternehmen verliehen, die in ihrer Branche innovativ und führend sind und die über </w:t>
      </w:r>
      <w:r>
        <w:rPr>
          <w:rFonts w:ascii="Arial" w:hAnsi="Arial" w:cs="Arial"/>
          <w:color w:val="000000"/>
          <w:sz w:val="20"/>
          <w:szCs w:val="20"/>
          <w:lang w:val="de-DE"/>
        </w:rPr>
        <w:t xml:space="preserve">überzeigende </w:t>
      </w:r>
      <w:r w:rsidRPr="00B20657">
        <w:rPr>
          <w:rFonts w:ascii="Arial" w:hAnsi="Arial" w:cs="Arial"/>
          <w:color w:val="000000"/>
          <w:sz w:val="20"/>
          <w:szCs w:val="20"/>
          <w:lang w:val="de-DE"/>
        </w:rPr>
        <w:t xml:space="preserve">Umstellungspläne </w:t>
      </w:r>
      <w:r>
        <w:rPr>
          <w:rFonts w:ascii="Arial" w:hAnsi="Arial" w:cs="Arial"/>
          <w:color w:val="000000"/>
          <w:sz w:val="20"/>
          <w:szCs w:val="20"/>
          <w:lang w:val="de-DE"/>
        </w:rPr>
        <w:t>verfolgen</w:t>
      </w:r>
      <w:r w:rsidRPr="00B20657">
        <w:rPr>
          <w:rFonts w:ascii="Arial" w:hAnsi="Arial" w:cs="Arial"/>
          <w:color w:val="000000"/>
          <w:sz w:val="20"/>
          <w:szCs w:val="20"/>
          <w:lang w:val="de-DE"/>
        </w:rPr>
        <w:t>, die durch weltweit anerkannte, wissenschaftliche Messgrößen untermauert werden, um bis 2050 oder früher Netto-Null zu erreichen.</w:t>
      </w:r>
    </w:p>
    <w:p w14:paraId="7B0DDBCB" w14:textId="77777777" w:rsidR="00B87EFB" w:rsidRPr="00B20657" w:rsidRDefault="00B87EFB" w:rsidP="00B87EFB">
      <w:pPr>
        <w:spacing w:before="100" w:beforeAutospacing="1" w:after="100" w:afterAutospacing="1"/>
        <w:jc w:val="both"/>
        <w:rPr>
          <w:rFonts w:ascii="Arial" w:hAnsi="Arial" w:cs="Arial"/>
          <w:color w:val="000000"/>
          <w:sz w:val="20"/>
          <w:szCs w:val="20"/>
          <w:lang w:val="de-DE"/>
        </w:rPr>
      </w:pPr>
      <w:r w:rsidRPr="00B20657">
        <w:rPr>
          <w:rFonts w:ascii="Arial" w:hAnsi="Arial" w:cs="Arial"/>
          <w:color w:val="000000"/>
          <w:sz w:val="20"/>
          <w:szCs w:val="20"/>
          <w:lang w:val="de-DE"/>
        </w:rPr>
        <w:t xml:space="preserve">Das SMI ist für diese Initiative eine Partnerschaft mit Corporate Knights eingegangen. Corporate Knights' Global 100 Most </w:t>
      </w:r>
      <w:proofErr w:type="spellStart"/>
      <w:r w:rsidRPr="00B20657">
        <w:rPr>
          <w:rFonts w:ascii="Arial" w:hAnsi="Arial" w:cs="Arial"/>
          <w:color w:val="000000"/>
          <w:sz w:val="20"/>
          <w:szCs w:val="20"/>
          <w:lang w:val="de-DE"/>
        </w:rPr>
        <w:t>Sustainable</w:t>
      </w:r>
      <w:proofErr w:type="spellEnd"/>
      <w:r w:rsidRPr="00B20657">
        <w:rPr>
          <w:rFonts w:ascii="Arial" w:hAnsi="Arial" w:cs="Arial"/>
          <w:color w:val="000000"/>
          <w:sz w:val="20"/>
          <w:szCs w:val="20"/>
          <w:lang w:val="de-DE"/>
        </w:rPr>
        <w:t xml:space="preserve"> Corporations Unternehmen wurden eingeladen, sich zusammen mit aktiven Task Force-Mitgliedern des SMI ab dem 1. Januar 2021 für das erste Terra </w:t>
      </w:r>
      <w:proofErr w:type="spellStart"/>
      <w:r w:rsidRPr="00B20657">
        <w:rPr>
          <w:rFonts w:ascii="Arial" w:hAnsi="Arial" w:cs="Arial"/>
          <w:color w:val="000000"/>
          <w:sz w:val="20"/>
          <w:szCs w:val="20"/>
          <w:lang w:val="de-DE"/>
        </w:rPr>
        <w:t>Carta</w:t>
      </w:r>
      <w:proofErr w:type="spellEnd"/>
      <w:r w:rsidRPr="00B20657">
        <w:rPr>
          <w:rFonts w:ascii="Arial" w:hAnsi="Arial" w:cs="Arial"/>
          <w:color w:val="000000"/>
          <w:sz w:val="20"/>
          <w:szCs w:val="20"/>
          <w:lang w:val="de-DE"/>
        </w:rPr>
        <w:t>-Siegel zu bewerben.</w:t>
      </w:r>
    </w:p>
    <w:p w14:paraId="5DB6019E" w14:textId="77777777" w:rsidR="00B87EFB" w:rsidRPr="00B20657" w:rsidRDefault="00B87EFB" w:rsidP="00B87EFB">
      <w:pPr>
        <w:spacing w:before="100" w:beforeAutospacing="1" w:after="100" w:afterAutospacing="1"/>
        <w:rPr>
          <w:rFonts w:ascii="Arial" w:hAnsi="Arial" w:cs="Arial"/>
          <w:color w:val="000000"/>
          <w:sz w:val="20"/>
          <w:szCs w:val="20"/>
          <w:lang w:val="de-DE"/>
        </w:rPr>
      </w:pPr>
      <w:r w:rsidRPr="00B20657">
        <w:rPr>
          <w:rFonts w:ascii="Arial" w:hAnsi="Arial" w:cs="Arial"/>
          <w:b/>
          <w:bCs/>
          <w:color w:val="000000"/>
          <w:sz w:val="20"/>
          <w:szCs w:val="20"/>
          <w:lang w:val="de-DE"/>
        </w:rPr>
        <w:t xml:space="preserve">Empfänger des Terra </w:t>
      </w:r>
      <w:proofErr w:type="spellStart"/>
      <w:r w:rsidRPr="00B20657">
        <w:rPr>
          <w:rFonts w:ascii="Arial" w:hAnsi="Arial" w:cs="Arial"/>
          <w:b/>
          <w:bCs/>
          <w:color w:val="000000"/>
          <w:sz w:val="20"/>
          <w:szCs w:val="20"/>
          <w:lang w:val="de-DE"/>
        </w:rPr>
        <w:t>Carta</w:t>
      </w:r>
      <w:proofErr w:type="spellEnd"/>
      <w:r w:rsidRPr="00B20657">
        <w:rPr>
          <w:rFonts w:ascii="Arial" w:hAnsi="Arial" w:cs="Arial"/>
          <w:b/>
          <w:bCs/>
          <w:color w:val="000000"/>
          <w:sz w:val="20"/>
          <w:szCs w:val="20"/>
          <w:lang w:val="de-DE"/>
        </w:rPr>
        <w:t>-Siegels</w:t>
      </w:r>
    </w:p>
    <w:p w14:paraId="2A68E271"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ACCIONA</w:t>
      </w:r>
    </w:p>
    <w:p w14:paraId="14C3CCF0"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Akzo Nobel NV</w:t>
      </w:r>
    </w:p>
    <w:p w14:paraId="3699DC65" w14:textId="43E1F6FF" w:rsid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Amazon</w:t>
      </w:r>
    </w:p>
    <w:p w14:paraId="4ECD7811" w14:textId="3B83FF70" w:rsidR="00B87EFB" w:rsidRPr="00B87EFB" w:rsidRDefault="00B87EFB" w:rsidP="00B87EFB">
      <w:pPr>
        <w:rPr>
          <w:rFonts w:ascii="Arial" w:hAnsi="Arial" w:cs="Arial"/>
          <w:color w:val="000000"/>
          <w:sz w:val="20"/>
          <w:szCs w:val="20"/>
          <w:lang w:val="en-US"/>
        </w:rPr>
      </w:pPr>
      <w:proofErr w:type="spellStart"/>
      <w:r w:rsidRPr="00B20657">
        <w:rPr>
          <w:rFonts w:ascii="Arial" w:hAnsi="Arial" w:cs="Arial"/>
          <w:color w:val="000000"/>
          <w:sz w:val="20"/>
          <w:szCs w:val="20"/>
          <w:lang w:val="de-DE"/>
        </w:rPr>
        <w:t>Arçelik</w:t>
      </w:r>
      <w:proofErr w:type="spellEnd"/>
    </w:p>
    <w:p w14:paraId="32D6FEA5"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AstraZeneca</w:t>
      </w:r>
    </w:p>
    <w:p w14:paraId="7CF3C7B8" w14:textId="77777777" w:rsidR="00B87EFB" w:rsidRPr="00B87EFB" w:rsidRDefault="00B87EFB" w:rsidP="00B87EFB">
      <w:pPr>
        <w:rPr>
          <w:rFonts w:ascii="Arial" w:hAnsi="Arial" w:cs="Arial"/>
          <w:color w:val="000000"/>
          <w:sz w:val="20"/>
          <w:szCs w:val="20"/>
          <w:lang w:val="en-US"/>
        </w:rPr>
      </w:pPr>
      <w:proofErr w:type="spellStart"/>
      <w:r w:rsidRPr="00B87EFB">
        <w:rPr>
          <w:rFonts w:ascii="Arial" w:hAnsi="Arial" w:cs="Arial"/>
          <w:color w:val="000000"/>
          <w:sz w:val="20"/>
          <w:szCs w:val="20"/>
          <w:lang w:val="en-US"/>
        </w:rPr>
        <w:t>Atlantica</w:t>
      </w:r>
      <w:proofErr w:type="spellEnd"/>
      <w:r w:rsidRPr="00B87EFB">
        <w:rPr>
          <w:rFonts w:ascii="Arial" w:hAnsi="Arial" w:cs="Arial"/>
          <w:color w:val="000000"/>
          <w:sz w:val="20"/>
          <w:szCs w:val="20"/>
          <w:lang w:val="en-US"/>
        </w:rPr>
        <w:t xml:space="preserve"> Sustainable Infrastructure Plc</w:t>
      </w:r>
    </w:p>
    <w:p w14:paraId="2F41DE7F"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Banco Santander</w:t>
      </w:r>
    </w:p>
    <w:p w14:paraId="0D018355"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Bank von Amerika</w:t>
      </w:r>
    </w:p>
    <w:p w14:paraId="0E181B84"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Brambles</w:t>
      </w:r>
    </w:p>
    <w:p w14:paraId="4DE43CF1"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BT Group</w:t>
      </w:r>
    </w:p>
    <w:p w14:paraId="4802C6E9"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City Developments Limited</w:t>
      </w:r>
    </w:p>
    <w:p w14:paraId="2D95BEEC" w14:textId="77777777" w:rsidR="00B87EFB" w:rsidRPr="00B87EFB" w:rsidRDefault="00B87EFB" w:rsidP="00B87EFB">
      <w:pPr>
        <w:rPr>
          <w:rFonts w:ascii="Arial" w:hAnsi="Arial" w:cs="Arial"/>
          <w:color w:val="000000"/>
          <w:sz w:val="20"/>
          <w:szCs w:val="20"/>
          <w:lang w:val="en-US"/>
        </w:rPr>
      </w:pPr>
      <w:proofErr w:type="spellStart"/>
      <w:r w:rsidRPr="00B87EFB">
        <w:rPr>
          <w:rFonts w:ascii="Arial" w:hAnsi="Arial" w:cs="Arial"/>
          <w:color w:val="000000"/>
          <w:sz w:val="20"/>
          <w:szCs w:val="20"/>
          <w:lang w:val="en-US"/>
        </w:rPr>
        <w:t>Cogeco</w:t>
      </w:r>
      <w:proofErr w:type="spellEnd"/>
      <w:r w:rsidRPr="00B87EFB">
        <w:rPr>
          <w:rFonts w:ascii="Arial" w:hAnsi="Arial" w:cs="Arial"/>
          <w:color w:val="000000"/>
          <w:sz w:val="20"/>
          <w:szCs w:val="20"/>
          <w:lang w:val="en-US"/>
        </w:rPr>
        <w:t xml:space="preserve"> Communications Inc.</w:t>
      </w:r>
    </w:p>
    <w:p w14:paraId="64CA3B40"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Credit Suisse</w:t>
      </w:r>
    </w:p>
    <w:p w14:paraId="3D4FE615"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Cummins Inc</w:t>
      </w:r>
    </w:p>
    <w:p w14:paraId="3D3A99AF"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Ericsson</w:t>
      </w:r>
    </w:p>
    <w:p w14:paraId="0C269130"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Hewlett Packard Enterprise</w:t>
      </w:r>
    </w:p>
    <w:p w14:paraId="3E9CA445"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HP Inc.</w:t>
      </w:r>
    </w:p>
    <w:p w14:paraId="1A56CFFF"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HSBC Holdings Plc</w:t>
      </w:r>
    </w:p>
    <w:p w14:paraId="0F7636D1"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Iberdrola</w:t>
      </w:r>
    </w:p>
    <w:p w14:paraId="4521A6D9"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IBM Corporation</w:t>
      </w:r>
    </w:p>
    <w:p w14:paraId="370AB224"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INDITEX S.A.</w:t>
      </w:r>
    </w:p>
    <w:p w14:paraId="3060EAB7"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Johnson Controls International plc</w:t>
      </w:r>
    </w:p>
    <w:p w14:paraId="11194DF1"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L'Oréal</w:t>
      </w:r>
    </w:p>
    <w:p w14:paraId="12CFD9C4"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McCormick &amp; Company, Incorporated</w:t>
      </w:r>
    </w:p>
    <w:p w14:paraId="4AE1E50E"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Metso Outotec</w:t>
      </w:r>
    </w:p>
    <w:p w14:paraId="571D3468"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National Australia Bank</w:t>
      </w:r>
    </w:p>
    <w:p w14:paraId="16707052"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Natura &amp;Co</w:t>
      </w:r>
    </w:p>
    <w:p w14:paraId="7291BAE6"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Nordea</w:t>
      </w:r>
    </w:p>
    <w:p w14:paraId="5BBC03D6"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Novo Nordisk A/S</w:t>
      </w:r>
    </w:p>
    <w:p w14:paraId="56EC135D"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Novozymes</w:t>
      </w:r>
    </w:p>
    <w:p w14:paraId="39AFC2D5" w14:textId="77777777" w:rsidR="00B87EFB" w:rsidRPr="00B87EFB" w:rsidRDefault="00B87EFB" w:rsidP="00B87EFB">
      <w:pPr>
        <w:rPr>
          <w:rFonts w:ascii="Arial" w:hAnsi="Arial" w:cs="Arial"/>
          <w:color w:val="000000"/>
          <w:sz w:val="20"/>
          <w:szCs w:val="20"/>
          <w:lang w:val="en-US"/>
        </w:rPr>
      </w:pPr>
      <w:proofErr w:type="spellStart"/>
      <w:r w:rsidRPr="00B87EFB">
        <w:rPr>
          <w:rFonts w:ascii="Arial" w:hAnsi="Arial" w:cs="Arial"/>
          <w:color w:val="000000"/>
          <w:sz w:val="20"/>
          <w:szCs w:val="20"/>
          <w:lang w:val="en-US"/>
        </w:rPr>
        <w:t>Ørsted</w:t>
      </w:r>
      <w:proofErr w:type="spellEnd"/>
    </w:p>
    <w:p w14:paraId="26D23C5F"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PepsiCo</w:t>
      </w:r>
    </w:p>
    <w:p w14:paraId="6A62DDED"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lastRenderedPageBreak/>
        <w:t>Prologis</w:t>
      </w:r>
    </w:p>
    <w:p w14:paraId="6DE8CFFF"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Salesforce</w:t>
      </w:r>
    </w:p>
    <w:p w14:paraId="17804FFE"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SAP SE</w:t>
      </w:r>
    </w:p>
    <w:p w14:paraId="30897B8C"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Siemens Energy AG</w:t>
      </w:r>
    </w:p>
    <w:p w14:paraId="25556D26"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Sims Limited</w:t>
      </w:r>
    </w:p>
    <w:p w14:paraId="594902A0"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Stantec, Inc.</w:t>
      </w:r>
    </w:p>
    <w:p w14:paraId="60F69A53"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Tech Mahindra</w:t>
      </w:r>
    </w:p>
    <w:p w14:paraId="6F8B5910"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TELUS</w:t>
      </w:r>
    </w:p>
    <w:p w14:paraId="4FE49EC4"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Tesco PLC</w:t>
      </w:r>
    </w:p>
    <w:p w14:paraId="10ABAB09"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Trane Technologies</w:t>
      </w:r>
    </w:p>
    <w:p w14:paraId="24CD25FA"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TSMC</w:t>
      </w:r>
    </w:p>
    <w:p w14:paraId="6D36BA04" w14:textId="77777777" w:rsidR="00B87EFB" w:rsidRPr="00B87EFB" w:rsidRDefault="00B87EFB" w:rsidP="00B87EFB">
      <w:pPr>
        <w:rPr>
          <w:rFonts w:ascii="Arial" w:hAnsi="Arial" w:cs="Arial"/>
          <w:color w:val="000000"/>
          <w:sz w:val="20"/>
          <w:szCs w:val="20"/>
          <w:lang w:val="en-US"/>
        </w:rPr>
      </w:pPr>
      <w:r w:rsidRPr="00B87EFB">
        <w:rPr>
          <w:rFonts w:ascii="Arial" w:hAnsi="Arial" w:cs="Arial"/>
          <w:color w:val="000000"/>
          <w:sz w:val="20"/>
          <w:szCs w:val="20"/>
          <w:lang w:val="en-US"/>
        </w:rPr>
        <w:t>Unilever PLC</w:t>
      </w:r>
    </w:p>
    <w:p w14:paraId="678B0F41" w14:textId="77777777" w:rsidR="00B87EFB" w:rsidRPr="00B20657" w:rsidRDefault="00B87EFB" w:rsidP="00B87EFB">
      <w:pPr>
        <w:rPr>
          <w:rFonts w:ascii="Arial" w:hAnsi="Arial" w:cs="Arial"/>
          <w:color w:val="000000"/>
          <w:sz w:val="20"/>
          <w:szCs w:val="20"/>
          <w:lang w:val="de-DE"/>
        </w:rPr>
      </w:pPr>
      <w:r w:rsidRPr="00B20657">
        <w:rPr>
          <w:rFonts w:ascii="Arial" w:hAnsi="Arial" w:cs="Arial"/>
          <w:color w:val="000000"/>
          <w:sz w:val="20"/>
          <w:szCs w:val="20"/>
          <w:lang w:val="de-DE"/>
        </w:rPr>
        <w:t>Xerox</w:t>
      </w:r>
    </w:p>
    <w:p w14:paraId="5CD52EB7"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b/>
          <w:bCs/>
          <w:color w:val="000000"/>
          <w:sz w:val="16"/>
          <w:szCs w:val="16"/>
          <w:lang w:val="de-DE"/>
        </w:rPr>
        <w:t xml:space="preserve">Informationen zur </w:t>
      </w:r>
      <w:proofErr w:type="spellStart"/>
      <w:r w:rsidRPr="00B87EFB">
        <w:rPr>
          <w:rFonts w:ascii="Arial" w:hAnsi="Arial" w:cs="Arial"/>
          <w:color w:val="000000"/>
          <w:sz w:val="16"/>
          <w:szCs w:val="16"/>
          <w:lang w:val="de-DE"/>
        </w:rPr>
        <w:t>Sustainable</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Markets</w:t>
      </w:r>
      <w:proofErr w:type="spellEnd"/>
      <w:r w:rsidRPr="00B87EFB">
        <w:rPr>
          <w:rFonts w:ascii="Arial" w:hAnsi="Arial" w:cs="Arial"/>
          <w:color w:val="000000"/>
          <w:sz w:val="16"/>
          <w:szCs w:val="16"/>
          <w:lang w:val="de-DE"/>
        </w:rPr>
        <w:t xml:space="preserve"> Initiative (SMI) </w:t>
      </w:r>
    </w:p>
    <w:p w14:paraId="796E1737"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 xml:space="preserve">Seine Königliche Hoheit, der Prinz von Wales, hat im Januar 2020 in Davos die </w:t>
      </w:r>
      <w:proofErr w:type="spellStart"/>
      <w:r w:rsidRPr="00B87EFB">
        <w:rPr>
          <w:rFonts w:ascii="Arial" w:hAnsi="Arial" w:cs="Arial"/>
          <w:color w:val="000000"/>
          <w:sz w:val="16"/>
          <w:szCs w:val="16"/>
          <w:lang w:val="de-DE"/>
        </w:rPr>
        <w:t>Sustainable</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Markets</w:t>
      </w:r>
      <w:proofErr w:type="spellEnd"/>
      <w:r w:rsidRPr="00B87EFB">
        <w:rPr>
          <w:rFonts w:ascii="Arial" w:hAnsi="Arial" w:cs="Arial"/>
          <w:color w:val="000000"/>
          <w:sz w:val="16"/>
          <w:szCs w:val="16"/>
          <w:lang w:val="de-DE"/>
        </w:rPr>
        <w:t xml:space="preserve"> Initiative (SMI) ins Leben gerufen. Die SMI basiert auf einem Netzwerk globaler CEOs und Unternehmen des Privatsektors, die zusammenarbeiten, um wohlhabende und nachhaltige Volkswirtschaften aufzubauen, die durch die ausgewogene Integration von natürlichem, sozialem, menschlichem und finanziellem Kapital langfristige Werte schaffen.</w:t>
      </w:r>
    </w:p>
    <w:p w14:paraId="0F7D9909" w14:textId="2184947C"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 xml:space="preserve">Die SMI erleichtert die Entwicklung von verantwortungsvollen Umstellungspfaden auf Industrie- und Unternehmensebene, um eine </w:t>
      </w:r>
      <w:proofErr w:type="spellStart"/>
      <w:r w:rsidRPr="00B87EFB">
        <w:rPr>
          <w:rFonts w:ascii="Arial" w:hAnsi="Arial" w:cs="Arial"/>
          <w:color w:val="000000"/>
          <w:sz w:val="16"/>
          <w:szCs w:val="16"/>
          <w:lang w:val="de-DE"/>
        </w:rPr>
        <w:t>Dekarbonisierung</w:t>
      </w:r>
      <w:proofErr w:type="spellEnd"/>
      <w:r w:rsidRPr="00B87EFB">
        <w:rPr>
          <w:rFonts w:ascii="Arial" w:hAnsi="Arial" w:cs="Arial"/>
          <w:color w:val="000000"/>
          <w:sz w:val="16"/>
          <w:szCs w:val="16"/>
          <w:lang w:val="de-DE"/>
        </w:rPr>
        <w:t xml:space="preserve"> und eine Nettonullstellung zu erreichen, </w:t>
      </w:r>
      <w:r w:rsidRPr="00B87EFB">
        <w:rPr>
          <w:rFonts w:ascii="Arial" w:hAnsi="Arial" w:cs="Arial"/>
          <w:color w:val="000000"/>
          <w:sz w:val="16"/>
          <w:szCs w:val="16"/>
          <w:lang w:val="de-DE"/>
        </w:rPr>
        <w:t xml:space="preserve">eine lebenswerte Zukunft zu schaffen und einen vertrauensvollen Übergang zu einer nachhaltigen Zukunft zu </w:t>
      </w:r>
      <w:proofErr w:type="spellStart"/>
      <w:r w:rsidRPr="00B87EFB">
        <w:rPr>
          <w:rFonts w:ascii="Arial" w:hAnsi="Arial" w:cs="Arial"/>
          <w:color w:val="000000"/>
          <w:sz w:val="16"/>
          <w:szCs w:val="16"/>
          <w:lang w:val="de-DE"/>
        </w:rPr>
        <w:t>unterstüzten</w:t>
      </w:r>
      <w:proofErr w:type="spellEnd"/>
      <w:r w:rsidRPr="00B87EFB">
        <w:rPr>
          <w:rFonts w:ascii="Arial" w:hAnsi="Arial" w:cs="Arial"/>
          <w:color w:val="000000"/>
          <w:sz w:val="16"/>
          <w:szCs w:val="16"/>
          <w:lang w:val="de-DE"/>
        </w:rPr>
        <w:t xml:space="preserve">. </w:t>
      </w:r>
    </w:p>
    <w:p w14:paraId="6064B214"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Seine Königliche Hoheit appelliert an öffentliche, private und philanthropische Entscheidungsträger in der ganzen Welt, sich diesem Vorhaben als Teil der „Koalition der Willigen" anzuschließen.</w:t>
      </w:r>
    </w:p>
    <w:p w14:paraId="121091DE"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Mehr zu diesem Thema finden Sie unter: </w:t>
      </w:r>
      <w:hyperlink r:id="rId8" w:tgtFrame="_blank" w:history="1">
        <w:r w:rsidRPr="00B87EFB">
          <w:rPr>
            <w:rFonts w:ascii="Arial" w:hAnsi="Arial" w:cs="Arial"/>
            <w:color w:val="0000FF"/>
            <w:sz w:val="16"/>
            <w:szCs w:val="16"/>
            <w:u w:val="single"/>
            <w:lang w:val="de-DE"/>
          </w:rPr>
          <w:t>www.sustainable-markets.org</w:t>
        </w:r>
      </w:hyperlink>
    </w:p>
    <w:p w14:paraId="20B8BB01" w14:textId="77777777" w:rsidR="00B87EFB" w:rsidRPr="00B87EFB" w:rsidRDefault="00B87EFB" w:rsidP="00B87EFB">
      <w:pPr>
        <w:spacing w:before="100" w:beforeAutospacing="1" w:after="100" w:afterAutospacing="1"/>
        <w:rPr>
          <w:rFonts w:ascii="Arial" w:hAnsi="Arial" w:cs="Arial"/>
          <w:color w:val="000000"/>
          <w:sz w:val="16"/>
          <w:szCs w:val="16"/>
          <w:lang w:val="de-DE"/>
        </w:rPr>
      </w:pPr>
      <w:r w:rsidRPr="00B87EFB">
        <w:rPr>
          <w:rFonts w:ascii="Arial" w:hAnsi="Arial" w:cs="Arial"/>
          <w:b/>
          <w:bCs/>
          <w:color w:val="000000"/>
          <w:sz w:val="16"/>
          <w:szCs w:val="16"/>
          <w:lang w:val="de-DE"/>
        </w:rPr>
        <w:t xml:space="preserve">Informationen zur Terra </w:t>
      </w:r>
      <w:proofErr w:type="spellStart"/>
      <w:r w:rsidRPr="00B87EFB">
        <w:rPr>
          <w:rFonts w:ascii="Arial" w:hAnsi="Arial" w:cs="Arial"/>
          <w:b/>
          <w:bCs/>
          <w:color w:val="000000"/>
          <w:sz w:val="16"/>
          <w:szCs w:val="16"/>
          <w:lang w:val="de-DE"/>
        </w:rPr>
        <w:t>Carta</w:t>
      </w:r>
      <w:proofErr w:type="spellEnd"/>
    </w:p>
    <w:p w14:paraId="69EAE888"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 xml:space="preserve">Die Terra </w:t>
      </w:r>
      <w:proofErr w:type="spellStart"/>
      <w:r w:rsidRPr="00B87EFB">
        <w:rPr>
          <w:rFonts w:ascii="Arial" w:hAnsi="Arial" w:cs="Arial"/>
          <w:color w:val="000000"/>
          <w:sz w:val="16"/>
          <w:szCs w:val="16"/>
          <w:lang w:val="de-DE"/>
        </w:rPr>
        <w:t>Carta</w:t>
      </w:r>
      <w:proofErr w:type="spellEnd"/>
      <w:r w:rsidRPr="00B87EFB">
        <w:rPr>
          <w:rFonts w:ascii="Arial" w:hAnsi="Arial" w:cs="Arial"/>
          <w:color w:val="000000"/>
          <w:sz w:val="16"/>
          <w:szCs w:val="16"/>
          <w:lang w:val="de-DE"/>
        </w:rPr>
        <w:t xml:space="preserve">, die von Seiner Königlichen Hoheit auf dem </w:t>
      </w:r>
      <w:proofErr w:type="spellStart"/>
      <w:r w:rsidRPr="00B87EFB">
        <w:rPr>
          <w:rFonts w:ascii="Arial" w:hAnsi="Arial" w:cs="Arial"/>
          <w:color w:val="000000"/>
          <w:sz w:val="16"/>
          <w:szCs w:val="16"/>
          <w:lang w:val="de-DE"/>
        </w:rPr>
        <w:t>One</w:t>
      </w:r>
      <w:proofErr w:type="spellEnd"/>
      <w:r w:rsidRPr="00B87EFB">
        <w:rPr>
          <w:rFonts w:ascii="Arial" w:hAnsi="Arial" w:cs="Arial"/>
          <w:color w:val="000000"/>
          <w:sz w:val="16"/>
          <w:szCs w:val="16"/>
          <w:lang w:val="de-DE"/>
        </w:rPr>
        <w:t xml:space="preserve"> Planet </w:t>
      </w:r>
      <w:proofErr w:type="spellStart"/>
      <w:r w:rsidRPr="00B87EFB">
        <w:rPr>
          <w:rFonts w:ascii="Arial" w:hAnsi="Arial" w:cs="Arial"/>
          <w:color w:val="000000"/>
          <w:sz w:val="16"/>
          <w:szCs w:val="16"/>
          <w:lang w:val="de-DE"/>
        </w:rPr>
        <w:t>Summit</w:t>
      </w:r>
      <w:proofErr w:type="spellEnd"/>
      <w:r w:rsidRPr="00B87EFB">
        <w:rPr>
          <w:rFonts w:ascii="Arial" w:hAnsi="Arial" w:cs="Arial"/>
          <w:color w:val="000000"/>
          <w:sz w:val="16"/>
          <w:szCs w:val="16"/>
          <w:lang w:val="de-DE"/>
        </w:rPr>
        <w:t xml:space="preserve"> im Januar 2021 ins Leben gerufen wurde, bietet einen praktischen Fahrplan für den Weg in eine ehrgeizige und nachhaltige Zukunft, in der die Kraft der Natur zusammen mit der transformativen Kraft, der Innovation und den Ressourcen des Privatsektors genutzt wird. Die Terra </w:t>
      </w:r>
      <w:proofErr w:type="spellStart"/>
      <w:r w:rsidRPr="00B87EFB">
        <w:rPr>
          <w:rFonts w:ascii="Arial" w:hAnsi="Arial" w:cs="Arial"/>
          <w:color w:val="000000"/>
          <w:sz w:val="16"/>
          <w:szCs w:val="16"/>
          <w:lang w:val="de-DE"/>
        </w:rPr>
        <w:t>Carta</w:t>
      </w:r>
      <w:proofErr w:type="spellEnd"/>
      <w:r w:rsidRPr="00B87EFB">
        <w:rPr>
          <w:rFonts w:ascii="Arial" w:hAnsi="Arial" w:cs="Arial"/>
          <w:color w:val="000000"/>
          <w:sz w:val="16"/>
          <w:szCs w:val="16"/>
          <w:lang w:val="de-DE"/>
        </w:rPr>
        <w:t xml:space="preserve"> dient als Mandat für die Initiative für nachhaltige Märkte. Derzeit gibt es über 400 namentlich genannte Unterstützer der Terra </w:t>
      </w:r>
      <w:proofErr w:type="spellStart"/>
      <w:r w:rsidRPr="00B87EFB">
        <w:rPr>
          <w:rFonts w:ascii="Arial" w:hAnsi="Arial" w:cs="Arial"/>
          <w:color w:val="000000"/>
          <w:sz w:val="16"/>
          <w:szCs w:val="16"/>
          <w:lang w:val="de-DE"/>
        </w:rPr>
        <w:t>Carta</w:t>
      </w:r>
      <w:proofErr w:type="spellEnd"/>
      <w:r w:rsidRPr="00B87EFB">
        <w:rPr>
          <w:rFonts w:ascii="Arial" w:hAnsi="Arial" w:cs="Arial"/>
          <w:color w:val="000000"/>
          <w:sz w:val="16"/>
          <w:szCs w:val="16"/>
          <w:lang w:val="de-DE"/>
        </w:rPr>
        <w:t xml:space="preserve"> - aufgelistet auf der SMI-Website.</w:t>
      </w:r>
    </w:p>
    <w:p w14:paraId="73E79B12" w14:textId="77777777" w:rsidR="00B87EFB" w:rsidRPr="00B87EFB" w:rsidRDefault="00B87EFB" w:rsidP="00B87EFB">
      <w:pPr>
        <w:spacing w:before="100" w:beforeAutospacing="1" w:after="100" w:afterAutospacing="1"/>
        <w:rPr>
          <w:rFonts w:ascii="Arial" w:hAnsi="Arial" w:cs="Arial"/>
          <w:color w:val="000000"/>
          <w:sz w:val="16"/>
          <w:szCs w:val="16"/>
          <w:lang w:val="de-DE"/>
        </w:rPr>
      </w:pPr>
      <w:r w:rsidRPr="00B87EFB">
        <w:rPr>
          <w:rFonts w:ascii="Arial" w:hAnsi="Arial" w:cs="Arial"/>
          <w:b/>
          <w:bCs/>
          <w:color w:val="000000"/>
          <w:sz w:val="16"/>
          <w:szCs w:val="16"/>
          <w:lang w:val="de-DE"/>
        </w:rPr>
        <w:t xml:space="preserve">Informationen zu </w:t>
      </w:r>
      <w:proofErr w:type="spellStart"/>
      <w:r w:rsidRPr="00B87EFB">
        <w:rPr>
          <w:rFonts w:ascii="Arial" w:hAnsi="Arial" w:cs="Arial"/>
          <w:b/>
          <w:bCs/>
          <w:color w:val="000000"/>
          <w:sz w:val="16"/>
          <w:szCs w:val="16"/>
          <w:lang w:val="de-DE"/>
        </w:rPr>
        <w:t>LoveFrom</w:t>
      </w:r>
      <w:proofErr w:type="spellEnd"/>
      <w:r w:rsidRPr="00B87EFB">
        <w:rPr>
          <w:rFonts w:ascii="Arial" w:hAnsi="Arial" w:cs="Arial"/>
          <w:b/>
          <w:bCs/>
          <w:color w:val="000000"/>
          <w:sz w:val="16"/>
          <w:szCs w:val="16"/>
          <w:lang w:val="de-DE"/>
        </w:rPr>
        <w:t xml:space="preserve"> und Sir </w:t>
      </w:r>
      <w:proofErr w:type="spellStart"/>
      <w:r w:rsidRPr="00B87EFB">
        <w:rPr>
          <w:rFonts w:ascii="Arial" w:hAnsi="Arial" w:cs="Arial"/>
          <w:b/>
          <w:bCs/>
          <w:color w:val="000000"/>
          <w:sz w:val="16"/>
          <w:szCs w:val="16"/>
          <w:lang w:val="de-DE"/>
        </w:rPr>
        <w:t>Jony</w:t>
      </w:r>
      <w:proofErr w:type="spellEnd"/>
      <w:r w:rsidRPr="00B87EFB">
        <w:rPr>
          <w:rFonts w:ascii="Arial" w:hAnsi="Arial" w:cs="Arial"/>
          <w:b/>
          <w:bCs/>
          <w:color w:val="000000"/>
          <w:sz w:val="16"/>
          <w:szCs w:val="16"/>
          <w:lang w:val="de-DE"/>
        </w:rPr>
        <w:t xml:space="preserve"> Ive:</w:t>
      </w:r>
    </w:p>
    <w:p w14:paraId="1734F070"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proofErr w:type="spellStart"/>
      <w:r w:rsidRPr="00B87EFB">
        <w:rPr>
          <w:rFonts w:ascii="Arial" w:hAnsi="Arial" w:cs="Arial"/>
          <w:color w:val="000000"/>
          <w:sz w:val="16"/>
          <w:szCs w:val="16"/>
          <w:lang w:val="de-DE"/>
        </w:rPr>
        <w:t>LoveFrom</w:t>
      </w:r>
      <w:proofErr w:type="spellEnd"/>
      <w:r w:rsidRPr="00B87EFB">
        <w:rPr>
          <w:rFonts w:ascii="Arial" w:hAnsi="Arial" w:cs="Arial"/>
          <w:color w:val="000000"/>
          <w:sz w:val="16"/>
          <w:szCs w:val="16"/>
          <w:lang w:val="de-DE"/>
        </w:rPr>
        <w:t xml:space="preserve"> ist ein kreatives Kollektiv von Designern, Architekten, Musikern, Filmemachern, Schriftstellern, Ingenieuren und Künstlern mit Ateliers in London und San Francisco, Kalifornien.</w:t>
      </w:r>
    </w:p>
    <w:p w14:paraId="64F8A591" w14:textId="77777777" w:rsidR="00B87EFB" w:rsidRPr="00B87EFB" w:rsidRDefault="00B87EFB" w:rsidP="00B87EFB">
      <w:pPr>
        <w:spacing w:before="100" w:beforeAutospacing="1" w:after="100" w:afterAutospacing="1"/>
        <w:jc w:val="both"/>
        <w:rPr>
          <w:rFonts w:ascii="Arial" w:hAnsi="Arial" w:cs="Arial"/>
          <w:color w:val="000000"/>
          <w:sz w:val="16"/>
          <w:szCs w:val="16"/>
          <w:lang w:val="en-US"/>
        </w:rPr>
      </w:pPr>
      <w:r w:rsidRPr="00B87EFB">
        <w:rPr>
          <w:rFonts w:ascii="Arial" w:hAnsi="Arial" w:cs="Arial"/>
          <w:color w:val="000000"/>
          <w:sz w:val="16"/>
          <w:szCs w:val="16"/>
          <w:lang w:val="de-DE"/>
        </w:rPr>
        <w:t xml:space="preserve">Sir </w:t>
      </w:r>
      <w:proofErr w:type="spellStart"/>
      <w:r w:rsidRPr="00B87EFB">
        <w:rPr>
          <w:rFonts w:ascii="Arial" w:hAnsi="Arial" w:cs="Arial"/>
          <w:color w:val="000000"/>
          <w:sz w:val="16"/>
          <w:szCs w:val="16"/>
          <w:lang w:val="de-DE"/>
        </w:rPr>
        <w:t>Jony</w:t>
      </w:r>
      <w:proofErr w:type="spellEnd"/>
      <w:r w:rsidRPr="00B87EFB">
        <w:rPr>
          <w:rFonts w:ascii="Arial" w:hAnsi="Arial" w:cs="Arial"/>
          <w:color w:val="000000"/>
          <w:sz w:val="16"/>
          <w:szCs w:val="16"/>
          <w:lang w:val="de-DE"/>
        </w:rPr>
        <w:t xml:space="preserve"> Ive KBE ist ein Designer. Als ehemaliger Chief Design Officer bei Apple hält er weltweit mehr als 12.500 Patente, die sich auf Benutzeroberflächen- und Hardwaredesign erstrecken. </w:t>
      </w:r>
      <w:r w:rsidRPr="00B87EFB">
        <w:rPr>
          <w:rFonts w:ascii="Arial" w:hAnsi="Arial" w:cs="Arial"/>
          <w:color w:val="000000"/>
          <w:sz w:val="16"/>
          <w:szCs w:val="16"/>
          <w:lang w:val="en-US"/>
        </w:rPr>
        <w:t xml:space="preserve">Er </w:t>
      </w:r>
      <w:proofErr w:type="spellStart"/>
      <w:r w:rsidRPr="00B87EFB">
        <w:rPr>
          <w:rFonts w:ascii="Arial" w:hAnsi="Arial" w:cs="Arial"/>
          <w:color w:val="000000"/>
          <w:sz w:val="16"/>
          <w:szCs w:val="16"/>
          <w:lang w:val="en-US"/>
        </w:rPr>
        <w:t>ist</w:t>
      </w:r>
      <w:proofErr w:type="spellEnd"/>
      <w:r w:rsidRPr="00B87EFB">
        <w:rPr>
          <w:rFonts w:ascii="Arial" w:hAnsi="Arial" w:cs="Arial"/>
          <w:color w:val="000000"/>
          <w:sz w:val="16"/>
          <w:szCs w:val="16"/>
          <w:lang w:val="en-US"/>
        </w:rPr>
        <w:t xml:space="preserve"> der Chancellor of the Royal College of Art.</w:t>
      </w:r>
    </w:p>
    <w:p w14:paraId="31F4A450" w14:textId="77777777" w:rsidR="00B87EFB" w:rsidRPr="00B87EFB" w:rsidRDefault="00B87EFB" w:rsidP="00B87EFB">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 xml:space="preserve">Für das Terra </w:t>
      </w:r>
      <w:proofErr w:type="spellStart"/>
      <w:r w:rsidRPr="00B87EFB">
        <w:rPr>
          <w:rFonts w:ascii="Arial" w:hAnsi="Arial" w:cs="Arial"/>
          <w:color w:val="000000"/>
          <w:sz w:val="16"/>
          <w:szCs w:val="16"/>
          <w:lang w:val="de-DE"/>
        </w:rPr>
        <w:t>Carta</w:t>
      </w:r>
      <w:proofErr w:type="spellEnd"/>
      <w:r w:rsidRPr="00B87EFB">
        <w:rPr>
          <w:rFonts w:ascii="Arial" w:hAnsi="Arial" w:cs="Arial"/>
          <w:color w:val="000000"/>
          <w:sz w:val="16"/>
          <w:szCs w:val="16"/>
          <w:lang w:val="de-DE"/>
        </w:rPr>
        <w:t xml:space="preserve">-Siegel arbeitete </w:t>
      </w:r>
      <w:proofErr w:type="spellStart"/>
      <w:r w:rsidRPr="00B87EFB">
        <w:rPr>
          <w:rFonts w:ascii="Arial" w:hAnsi="Arial" w:cs="Arial"/>
          <w:color w:val="000000"/>
          <w:sz w:val="16"/>
          <w:szCs w:val="16"/>
          <w:lang w:val="de-DE"/>
        </w:rPr>
        <w:t>LoveFrom</w:t>
      </w:r>
      <w:proofErr w:type="spellEnd"/>
      <w:r w:rsidRPr="00B87EFB">
        <w:rPr>
          <w:rFonts w:ascii="Arial" w:hAnsi="Arial" w:cs="Arial"/>
          <w:color w:val="000000"/>
          <w:sz w:val="16"/>
          <w:szCs w:val="16"/>
          <w:lang w:val="de-DE"/>
        </w:rPr>
        <w:t xml:space="preserve"> mit dem berühmten Illustrator Peter </w:t>
      </w:r>
      <w:proofErr w:type="spellStart"/>
      <w:r w:rsidRPr="00B87EFB">
        <w:rPr>
          <w:rFonts w:ascii="Arial" w:hAnsi="Arial" w:cs="Arial"/>
          <w:color w:val="000000"/>
          <w:sz w:val="16"/>
          <w:szCs w:val="16"/>
          <w:lang w:val="de-DE"/>
        </w:rPr>
        <w:t>Horridge</w:t>
      </w:r>
      <w:proofErr w:type="spellEnd"/>
      <w:r w:rsidRPr="00B87EFB">
        <w:rPr>
          <w:rFonts w:ascii="Arial" w:hAnsi="Arial" w:cs="Arial"/>
          <w:color w:val="000000"/>
          <w:sz w:val="16"/>
          <w:szCs w:val="16"/>
          <w:lang w:val="de-DE"/>
        </w:rPr>
        <w:t xml:space="preserve">, den Druckermeistern und Papieringenieuren der </w:t>
      </w:r>
      <w:proofErr w:type="spellStart"/>
      <w:r w:rsidRPr="00B87EFB">
        <w:rPr>
          <w:rFonts w:ascii="Arial" w:hAnsi="Arial" w:cs="Arial"/>
          <w:color w:val="000000"/>
          <w:sz w:val="16"/>
          <w:szCs w:val="16"/>
          <w:lang w:val="de-DE"/>
        </w:rPr>
        <w:t>Imprimerie</w:t>
      </w:r>
      <w:proofErr w:type="spellEnd"/>
      <w:r w:rsidRPr="00B87EFB">
        <w:rPr>
          <w:rFonts w:ascii="Arial" w:hAnsi="Arial" w:cs="Arial"/>
          <w:color w:val="000000"/>
          <w:sz w:val="16"/>
          <w:szCs w:val="16"/>
          <w:lang w:val="de-DE"/>
        </w:rPr>
        <w:t xml:space="preserve"> du </w:t>
      </w:r>
      <w:proofErr w:type="spellStart"/>
      <w:r w:rsidRPr="00B87EFB">
        <w:rPr>
          <w:rFonts w:ascii="Arial" w:hAnsi="Arial" w:cs="Arial"/>
          <w:color w:val="000000"/>
          <w:sz w:val="16"/>
          <w:szCs w:val="16"/>
          <w:lang w:val="de-DE"/>
        </w:rPr>
        <w:t>Marais</w:t>
      </w:r>
      <w:proofErr w:type="spellEnd"/>
      <w:r w:rsidRPr="00B87EFB">
        <w:rPr>
          <w:rFonts w:ascii="Arial" w:hAnsi="Arial" w:cs="Arial"/>
          <w:color w:val="000000"/>
          <w:sz w:val="16"/>
          <w:szCs w:val="16"/>
          <w:lang w:val="de-DE"/>
        </w:rPr>
        <w:t xml:space="preserve"> und den Spezialisten für handgeschöpftes Papier The Paper </w:t>
      </w:r>
      <w:proofErr w:type="spellStart"/>
      <w:r w:rsidRPr="00B87EFB">
        <w:rPr>
          <w:rFonts w:ascii="Arial" w:hAnsi="Arial" w:cs="Arial"/>
          <w:color w:val="000000"/>
          <w:sz w:val="16"/>
          <w:szCs w:val="16"/>
          <w:lang w:val="de-DE"/>
        </w:rPr>
        <w:t>Foundation</w:t>
      </w:r>
      <w:proofErr w:type="spellEnd"/>
      <w:r w:rsidRPr="00B87EFB">
        <w:rPr>
          <w:rFonts w:ascii="Arial" w:hAnsi="Arial" w:cs="Arial"/>
          <w:color w:val="000000"/>
          <w:sz w:val="16"/>
          <w:szCs w:val="16"/>
          <w:lang w:val="de-DE"/>
        </w:rPr>
        <w:t xml:space="preserve">, gegründet von James </w:t>
      </w:r>
      <w:proofErr w:type="spellStart"/>
      <w:r w:rsidRPr="00B87EFB">
        <w:rPr>
          <w:rFonts w:ascii="Arial" w:hAnsi="Arial" w:cs="Arial"/>
          <w:color w:val="000000"/>
          <w:sz w:val="16"/>
          <w:szCs w:val="16"/>
          <w:lang w:val="de-DE"/>
        </w:rPr>
        <w:t>Cropper</w:t>
      </w:r>
      <w:proofErr w:type="spellEnd"/>
      <w:r w:rsidRPr="00B87EFB">
        <w:rPr>
          <w:rFonts w:ascii="Arial" w:hAnsi="Arial" w:cs="Arial"/>
          <w:color w:val="000000"/>
          <w:sz w:val="16"/>
          <w:szCs w:val="16"/>
          <w:lang w:val="de-DE"/>
        </w:rPr>
        <w:t xml:space="preserve">, zusammen. Die in Los Angeles ansässigen </w:t>
      </w:r>
      <w:proofErr w:type="spellStart"/>
      <w:r w:rsidRPr="00B87EFB">
        <w:rPr>
          <w:rFonts w:ascii="Arial" w:hAnsi="Arial" w:cs="Arial"/>
          <w:color w:val="000000"/>
          <w:sz w:val="16"/>
          <w:szCs w:val="16"/>
          <w:lang w:val="de-DE"/>
        </w:rPr>
        <w:t>Method</w:t>
      </w:r>
      <w:proofErr w:type="spellEnd"/>
      <w:r w:rsidRPr="00B87EFB">
        <w:rPr>
          <w:rFonts w:ascii="Arial" w:hAnsi="Arial" w:cs="Arial"/>
          <w:color w:val="000000"/>
          <w:sz w:val="16"/>
          <w:szCs w:val="16"/>
          <w:lang w:val="de-DE"/>
        </w:rPr>
        <w:t xml:space="preserve"> Studios haben eine animierte Version des Terra </w:t>
      </w:r>
      <w:proofErr w:type="spellStart"/>
      <w:r w:rsidRPr="00B87EFB">
        <w:rPr>
          <w:rFonts w:ascii="Arial" w:hAnsi="Arial" w:cs="Arial"/>
          <w:color w:val="000000"/>
          <w:sz w:val="16"/>
          <w:szCs w:val="16"/>
          <w:lang w:val="de-DE"/>
        </w:rPr>
        <w:t>Carta</w:t>
      </w:r>
      <w:proofErr w:type="spellEnd"/>
      <w:r w:rsidRPr="00B87EFB">
        <w:rPr>
          <w:rFonts w:ascii="Arial" w:hAnsi="Arial" w:cs="Arial"/>
          <w:color w:val="000000"/>
          <w:sz w:val="16"/>
          <w:szCs w:val="16"/>
          <w:lang w:val="de-DE"/>
        </w:rPr>
        <w:t>-Siegels erstellt.</w:t>
      </w:r>
    </w:p>
    <w:p w14:paraId="1150557A" w14:textId="77777777" w:rsidR="00B87EFB" w:rsidRPr="00B87EFB" w:rsidRDefault="00B87EFB" w:rsidP="00B87EFB">
      <w:pPr>
        <w:spacing w:before="100" w:beforeAutospacing="1" w:after="100" w:afterAutospacing="1"/>
        <w:rPr>
          <w:rFonts w:ascii="Arial" w:hAnsi="Arial" w:cs="Arial"/>
          <w:color w:val="000000"/>
          <w:sz w:val="16"/>
          <w:szCs w:val="16"/>
          <w:lang w:val="de-DE"/>
        </w:rPr>
      </w:pPr>
      <w:r w:rsidRPr="00B87EFB">
        <w:rPr>
          <w:rFonts w:ascii="Arial" w:hAnsi="Arial" w:cs="Arial"/>
          <w:b/>
          <w:bCs/>
          <w:color w:val="000000"/>
          <w:sz w:val="16"/>
          <w:szCs w:val="16"/>
          <w:lang w:val="de-DE"/>
        </w:rPr>
        <w:t xml:space="preserve">Informationen zu </w:t>
      </w:r>
      <w:proofErr w:type="spellStart"/>
      <w:r w:rsidRPr="00B87EFB">
        <w:rPr>
          <w:rFonts w:ascii="Arial" w:hAnsi="Arial" w:cs="Arial"/>
          <w:b/>
          <w:bCs/>
          <w:color w:val="000000"/>
          <w:sz w:val="16"/>
          <w:szCs w:val="16"/>
          <w:lang w:val="de-DE"/>
        </w:rPr>
        <w:t>Arçelik</w:t>
      </w:r>
      <w:proofErr w:type="spellEnd"/>
    </w:p>
    <w:p w14:paraId="245DF095" w14:textId="174F74C1" w:rsidR="00525A16" w:rsidRPr="00B87EFB" w:rsidRDefault="00B87EFB" w:rsidP="000270E2">
      <w:pPr>
        <w:spacing w:before="100" w:beforeAutospacing="1" w:after="100" w:afterAutospacing="1"/>
        <w:jc w:val="both"/>
        <w:rPr>
          <w:rFonts w:ascii="Arial" w:hAnsi="Arial" w:cs="Arial"/>
          <w:color w:val="000000"/>
          <w:sz w:val="16"/>
          <w:szCs w:val="16"/>
          <w:lang w:val="de-DE"/>
        </w:rPr>
      </w:pPr>
      <w:r w:rsidRPr="00B87EFB">
        <w:rPr>
          <w:rFonts w:ascii="Arial" w:hAnsi="Arial" w:cs="Arial"/>
          <w:color w:val="000000"/>
          <w:sz w:val="16"/>
          <w:szCs w:val="16"/>
          <w:lang w:val="de-DE"/>
        </w:rPr>
        <w:t xml:space="preserve">Mit über 40.000 Mitarbeitern auf der ganzen Welt verfügt </w:t>
      </w:r>
      <w:proofErr w:type="spellStart"/>
      <w:r w:rsidRPr="00B87EFB">
        <w:rPr>
          <w:rFonts w:ascii="Arial" w:hAnsi="Arial" w:cs="Arial"/>
          <w:color w:val="000000"/>
          <w:sz w:val="16"/>
          <w:szCs w:val="16"/>
          <w:lang w:val="de-DE"/>
        </w:rPr>
        <w:t>Arçelik</w:t>
      </w:r>
      <w:proofErr w:type="spellEnd"/>
      <w:r w:rsidRPr="00B87EFB">
        <w:rPr>
          <w:rFonts w:ascii="Arial" w:hAnsi="Arial" w:cs="Arial"/>
          <w:color w:val="000000"/>
          <w:sz w:val="16"/>
          <w:szCs w:val="16"/>
          <w:lang w:val="de-DE"/>
        </w:rPr>
        <w:t xml:space="preserve"> über Vertriebs- und Marketingbüros in 48 Ländern und 28 Produktionsstätten in 9 Ländern und 12 Marken (</w:t>
      </w:r>
      <w:proofErr w:type="spellStart"/>
      <w:r w:rsidRPr="00B87EFB">
        <w:rPr>
          <w:rFonts w:ascii="Arial" w:hAnsi="Arial" w:cs="Arial"/>
          <w:color w:val="000000"/>
          <w:sz w:val="16"/>
          <w:szCs w:val="16"/>
          <w:lang w:val="de-DE"/>
        </w:rPr>
        <w:t>Arçelik</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Beko</w:t>
      </w:r>
      <w:proofErr w:type="spellEnd"/>
      <w:r w:rsidRPr="00B87EFB">
        <w:rPr>
          <w:rFonts w:ascii="Arial" w:hAnsi="Arial" w:cs="Arial"/>
          <w:color w:val="000000"/>
          <w:sz w:val="16"/>
          <w:szCs w:val="16"/>
          <w:lang w:val="de-DE"/>
        </w:rPr>
        <w:t xml:space="preserve">, Grundig, Blomberg, </w:t>
      </w:r>
      <w:proofErr w:type="spellStart"/>
      <w:r w:rsidRPr="00B87EFB">
        <w:rPr>
          <w:rFonts w:ascii="Arial" w:hAnsi="Arial" w:cs="Arial"/>
          <w:color w:val="000000"/>
          <w:sz w:val="16"/>
          <w:szCs w:val="16"/>
          <w:lang w:val="de-DE"/>
        </w:rPr>
        <w:t>elektrabregenz</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Arctic</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Leisure</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Flavel</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Defy</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Altus</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Dawlance</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Voltas</w:t>
      </w:r>
      <w:proofErr w:type="spellEnd"/>
      <w:r w:rsidRPr="00B87EFB">
        <w:rPr>
          <w:rFonts w:ascii="Arial" w:hAnsi="Arial" w:cs="Arial"/>
          <w:color w:val="000000"/>
          <w:sz w:val="16"/>
          <w:szCs w:val="16"/>
          <w:lang w:val="de-DE"/>
        </w:rPr>
        <w:t xml:space="preserve"> </w:t>
      </w:r>
      <w:proofErr w:type="spellStart"/>
      <w:r w:rsidRPr="00B87EFB">
        <w:rPr>
          <w:rFonts w:ascii="Arial" w:hAnsi="Arial" w:cs="Arial"/>
          <w:color w:val="000000"/>
          <w:sz w:val="16"/>
          <w:szCs w:val="16"/>
          <w:lang w:val="de-DE"/>
        </w:rPr>
        <w:t>Beko</w:t>
      </w:r>
      <w:proofErr w:type="spellEnd"/>
      <w:r w:rsidRPr="00B87EFB">
        <w:rPr>
          <w:rFonts w:ascii="Arial" w:hAnsi="Arial" w:cs="Arial"/>
          <w:color w:val="000000"/>
          <w:sz w:val="16"/>
          <w:szCs w:val="16"/>
          <w:lang w:val="de-DE"/>
        </w:rPr>
        <w:t xml:space="preserve">). Als Europas zweitgrößtes Weißwarenunternehmen nach Marktanteil (basierend auf Volumen) erreichte </w:t>
      </w:r>
      <w:proofErr w:type="spellStart"/>
      <w:r w:rsidRPr="00B87EFB">
        <w:rPr>
          <w:rFonts w:ascii="Arial" w:hAnsi="Arial" w:cs="Arial"/>
          <w:color w:val="000000"/>
          <w:sz w:val="16"/>
          <w:szCs w:val="16"/>
          <w:lang w:val="de-DE"/>
        </w:rPr>
        <w:t>Arçeliks</w:t>
      </w:r>
      <w:proofErr w:type="spellEnd"/>
      <w:r w:rsidRPr="00B87EFB">
        <w:rPr>
          <w:rFonts w:ascii="Arial" w:hAnsi="Arial" w:cs="Arial"/>
          <w:color w:val="000000"/>
          <w:sz w:val="16"/>
          <w:szCs w:val="16"/>
          <w:lang w:val="de-DE"/>
        </w:rPr>
        <w:t xml:space="preserve"> konsolidierter Umsatz im Jahr 2020 4,3 Milliarden US-Dollar. In den 30 F&amp;E- und Designzentren und Niederlassungen von </w:t>
      </w:r>
      <w:proofErr w:type="spellStart"/>
      <w:r w:rsidRPr="00B87EFB">
        <w:rPr>
          <w:rFonts w:ascii="Arial" w:hAnsi="Arial" w:cs="Arial"/>
          <w:color w:val="000000"/>
          <w:sz w:val="16"/>
          <w:szCs w:val="16"/>
          <w:lang w:val="de-DE"/>
        </w:rPr>
        <w:t>Arçelik</w:t>
      </w:r>
      <w:proofErr w:type="spellEnd"/>
      <w:r w:rsidRPr="00B87EFB">
        <w:rPr>
          <w:rFonts w:ascii="Arial" w:hAnsi="Arial" w:cs="Arial"/>
          <w:color w:val="000000"/>
          <w:sz w:val="16"/>
          <w:szCs w:val="16"/>
          <w:lang w:val="de-DE"/>
        </w:rPr>
        <w:t xml:space="preserve"> auf der ganzen Welt arbeiten über 1.700 Forscher und haben bis heute mehr als 3.000 internationale Patente angemeldet. 2020 wurde </w:t>
      </w:r>
      <w:proofErr w:type="spellStart"/>
      <w:r w:rsidRPr="00B87EFB">
        <w:rPr>
          <w:rFonts w:ascii="Arial" w:hAnsi="Arial" w:cs="Arial"/>
          <w:color w:val="000000"/>
          <w:sz w:val="16"/>
          <w:szCs w:val="16"/>
          <w:lang w:val="de-DE"/>
        </w:rPr>
        <w:t>Arçelik</w:t>
      </w:r>
      <w:proofErr w:type="spellEnd"/>
      <w:r w:rsidRPr="00B87EFB">
        <w:rPr>
          <w:rFonts w:ascii="Arial" w:hAnsi="Arial" w:cs="Arial"/>
          <w:color w:val="000000"/>
          <w:sz w:val="16"/>
          <w:szCs w:val="16"/>
          <w:lang w:val="de-DE"/>
        </w:rPr>
        <w:t xml:space="preserve"> im Dow Jones </w:t>
      </w:r>
      <w:proofErr w:type="spellStart"/>
      <w:r w:rsidRPr="00B87EFB">
        <w:rPr>
          <w:rFonts w:ascii="Arial" w:hAnsi="Arial" w:cs="Arial"/>
          <w:color w:val="000000"/>
          <w:sz w:val="16"/>
          <w:szCs w:val="16"/>
          <w:lang w:val="de-DE"/>
        </w:rPr>
        <w:t>Sustainability</w:t>
      </w:r>
      <w:proofErr w:type="spellEnd"/>
      <w:r w:rsidRPr="00B87EFB">
        <w:rPr>
          <w:rFonts w:ascii="Arial" w:hAnsi="Arial" w:cs="Arial"/>
          <w:color w:val="000000"/>
          <w:sz w:val="16"/>
          <w:szCs w:val="16"/>
          <w:lang w:val="de-DE"/>
        </w:rPr>
        <w:t xml:space="preserve"> Index zum zweiten Mal in Folge zum „</w:t>
      </w:r>
      <w:proofErr w:type="spellStart"/>
      <w:r w:rsidRPr="00B87EFB">
        <w:rPr>
          <w:rFonts w:ascii="Arial" w:hAnsi="Arial" w:cs="Arial"/>
          <w:color w:val="000000"/>
          <w:sz w:val="16"/>
          <w:szCs w:val="16"/>
          <w:lang w:val="de-DE"/>
        </w:rPr>
        <w:t>Industry</w:t>
      </w:r>
      <w:proofErr w:type="spellEnd"/>
      <w:r w:rsidRPr="00B87EFB">
        <w:rPr>
          <w:rFonts w:ascii="Arial" w:hAnsi="Arial" w:cs="Arial"/>
          <w:color w:val="000000"/>
          <w:sz w:val="16"/>
          <w:szCs w:val="16"/>
          <w:lang w:val="de-DE"/>
        </w:rPr>
        <w:t xml:space="preserve"> Leader" in der Kategorie langlebige Haushaltsgeräte ernannt und ist in Übereinstimmung mit dem PAS 2060 Carbon </w:t>
      </w:r>
      <w:proofErr w:type="spellStart"/>
      <w:r w:rsidRPr="00B87EFB">
        <w:rPr>
          <w:rFonts w:ascii="Arial" w:hAnsi="Arial" w:cs="Arial"/>
          <w:color w:val="000000"/>
          <w:sz w:val="16"/>
          <w:szCs w:val="16"/>
          <w:lang w:val="de-DE"/>
        </w:rPr>
        <w:t>Neutrality</w:t>
      </w:r>
      <w:proofErr w:type="spellEnd"/>
      <w:r w:rsidRPr="00B87EFB">
        <w:rPr>
          <w:rFonts w:ascii="Arial" w:hAnsi="Arial" w:cs="Arial"/>
          <w:color w:val="000000"/>
          <w:sz w:val="16"/>
          <w:szCs w:val="16"/>
          <w:lang w:val="de-DE"/>
        </w:rPr>
        <w:t xml:space="preserve"> Standard in den Geschäftsjahren 2019 und 2020 in den globalen Produktionsstätten mit eigenen Emissionsgutschriften in </w:t>
      </w:r>
      <w:proofErr w:type="spellStart"/>
      <w:r w:rsidRPr="00B87EFB">
        <w:rPr>
          <w:rFonts w:ascii="Arial" w:hAnsi="Arial" w:cs="Arial"/>
          <w:color w:val="000000"/>
          <w:sz w:val="16"/>
          <w:szCs w:val="16"/>
          <w:lang w:val="de-DE"/>
        </w:rPr>
        <w:t>Scope</w:t>
      </w:r>
      <w:proofErr w:type="spellEnd"/>
      <w:r w:rsidRPr="00B87EFB">
        <w:rPr>
          <w:rFonts w:ascii="Arial" w:hAnsi="Arial" w:cs="Arial"/>
          <w:color w:val="000000"/>
          <w:sz w:val="16"/>
          <w:szCs w:val="16"/>
          <w:lang w:val="de-DE"/>
        </w:rPr>
        <w:t xml:space="preserve"> 1 und 2 klimaneutral geworden. Die Mission von </w:t>
      </w:r>
      <w:proofErr w:type="spellStart"/>
      <w:r w:rsidRPr="00B87EFB">
        <w:rPr>
          <w:rFonts w:ascii="Arial" w:hAnsi="Arial" w:cs="Arial"/>
          <w:color w:val="000000"/>
          <w:sz w:val="16"/>
          <w:szCs w:val="16"/>
          <w:lang w:val="de-DE"/>
        </w:rPr>
        <w:t>Arçelik</w:t>
      </w:r>
      <w:proofErr w:type="spellEnd"/>
      <w:r w:rsidRPr="00B87EFB">
        <w:rPr>
          <w:rFonts w:ascii="Arial" w:hAnsi="Arial" w:cs="Arial"/>
          <w:color w:val="000000"/>
          <w:sz w:val="16"/>
          <w:szCs w:val="16"/>
          <w:lang w:val="de-DE"/>
        </w:rPr>
        <w:t xml:space="preserve"> lautet: „Die Welt respektieren, weltweit respektiert werden."</w:t>
      </w:r>
      <w:r w:rsidRPr="00B87EFB">
        <w:rPr>
          <w:rFonts w:ascii="Arial" w:hAnsi="Arial" w:cs="Arial"/>
          <w:color w:val="000000"/>
          <w:sz w:val="16"/>
          <w:szCs w:val="16"/>
          <w:lang w:val="de-DE"/>
        </w:rPr>
        <w:t xml:space="preserve"> </w:t>
      </w:r>
      <w:hyperlink r:id="rId9" w:history="1">
        <w:r w:rsidRPr="00B87EFB">
          <w:rPr>
            <w:rStyle w:val="Hyperlink"/>
            <w:rFonts w:ascii="Arial" w:hAnsi="Arial" w:cs="Arial"/>
            <w:sz w:val="16"/>
            <w:szCs w:val="16"/>
          </w:rPr>
          <w:t>www.arcelikglobal.com/en</w:t>
        </w:r>
      </w:hyperlink>
      <w:r w:rsidRPr="00B87EFB">
        <w:rPr>
          <w:rFonts w:ascii="Arial" w:hAnsi="Arial" w:cs="Arial"/>
          <w:color w:val="000000"/>
          <w:sz w:val="16"/>
          <w:szCs w:val="16"/>
        </w:rPr>
        <w:t> </w:t>
      </w:r>
    </w:p>
    <w:p w14:paraId="091F15E8" w14:textId="2EDC596C" w:rsidR="00241905" w:rsidRDefault="00241905" w:rsidP="00A3349E">
      <w:pPr>
        <w:outlineLvl w:val="0"/>
        <w:rPr>
          <w:rFonts w:asciiTheme="minorHAnsi" w:hAnsiTheme="minorHAnsi" w:cstheme="minorHAnsi"/>
          <w:bCs/>
          <w:sz w:val="16"/>
          <w:szCs w:val="16"/>
        </w:rPr>
      </w:pPr>
    </w:p>
    <w:p w14:paraId="565F40ED" w14:textId="14EF6BC3" w:rsidR="000270E2" w:rsidRDefault="000270E2" w:rsidP="00A3349E">
      <w:pPr>
        <w:outlineLvl w:val="0"/>
        <w:rPr>
          <w:rFonts w:asciiTheme="minorHAnsi" w:hAnsiTheme="minorHAnsi" w:cstheme="minorHAnsi"/>
          <w:bCs/>
          <w:sz w:val="16"/>
          <w:szCs w:val="16"/>
        </w:rPr>
      </w:pPr>
    </w:p>
    <w:p w14:paraId="0D578954" w14:textId="77777777" w:rsidR="000270E2" w:rsidRDefault="000270E2" w:rsidP="00A3349E">
      <w:pPr>
        <w:outlineLvl w:val="0"/>
        <w:rPr>
          <w:rFonts w:asciiTheme="minorHAnsi" w:hAnsiTheme="minorHAnsi" w:cstheme="minorHAnsi"/>
          <w:bCs/>
          <w:sz w:val="16"/>
          <w:szCs w:val="16"/>
        </w:rPr>
      </w:pPr>
    </w:p>
    <w:p w14:paraId="6353FF25" w14:textId="124200A3" w:rsidR="00796652" w:rsidRPr="00A3349E"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B87EFB" w:rsidRPr="00ED3B97" w14:paraId="74D6F307" w14:textId="77777777" w:rsidTr="00B20657">
        <w:tc>
          <w:tcPr>
            <w:tcW w:w="3823" w:type="dxa"/>
          </w:tcPr>
          <w:p w14:paraId="2152BE75" w14:textId="77777777" w:rsidR="00B87EFB" w:rsidRPr="0003734A" w:rsidRDefault="00B87EFB" w:rsidP="00B20657">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E61578E" w14:textId="77777777" w:rsidR="00B87EFB" w:rsidRPr="0003734A" w:rsidRDefault="00B87EFB" w:rsidP="00B20657">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7768E69B" w14:textId="77777777" w:rsidR="00B87EFB" w:rsidRPr="0003734A" w:rsidRDefault="00B87EFB" w:rsidP="00B20657">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0E63CA9D" w14:textId="77777777" w:rsidR="00B87EFB" w:rsidRPr="00B87EFB" w:rsidRDefault="00B87EFB" w:rsidP="00B20657">
            <w:pPr>
              <w:outlineLvl w:val="0"/>
              <w:rPr>
                <w:rFonts w:ascii="SohoGothicPro-Regular" w:hAnsi="SohoGothicPro-Regular" w:cs="SohoGothicPro-Regular"/>
                <w:color w:val="000000"/>
                <w:sz w:val="20"/>
                <w:szCs w:val="20"/>
                <w:lang w:val="en-US"/>
              </w:rPr>
            </w:pPr>
            <w:hyperlink r:id="rId10" w:history="1">
              <w:r w:rsidRPr="00B87EFB">
                <w:rPr>
                  <w:rStyle w:val="Hyperlink"/>
                  <w:rFonts w:asciiTheme="minorHAnsi" w:eastAsiaTheme="majorEastAsia" w:hAnsiTheme="minorHAnsi" w:cstheme="minorHAnsi"/>
                  <w:sz w:val="20"/>
                  <w:szCs w:val="20"/>
                </w:rPr>
                <w:t>alexandra.vasak@reiterpr.com</w:t>
              </w:r>
            </w:hyperlink>
            <w:r w:rsidRPr="00B87EFB">
              <w:rPr>
                <w:rFonts w:ascii="SohoGothicPro-Regular" w:hAnsi="SohoGothicPro-Regular" w:cs="SohoGothicPro-Regular"/>
                <w:color w:val="000000"/>
                <w:sz w:val="20"/>
                <w:szCs w:val="20"/>
                <w:lang w:val="en-US"/>
              </w:rPr>
              <w:t xml:space="preserve"> </w:t>
            </w:r>
          </w:p>
        </w:tc>
        <w:tc>
          <w:tcPr>
            <w:tcW w:w="5092" w:type="dxa"/>
          </w:tcPr>
          <w:p w14:paraId="256097B8" w14:textId="77777777" w:rsidR="00B87EFB" w:rsidRDefault="00B87EFB" w:rsidP="00B20657">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 xml:space="preserve">Mag. Wolfgang </w:t>
            </w:r>
            <w:proofErr w:type="spellStart"/>
            <w:r w:rsidRPr="000E0B4D">
              <w:rPr>
                <w:rFonts w:ascii="SohoGothicPro-Regular" w:hAnsi="SohoGothicPro-Regular" w:cs="SohoGothicPro-Regular"/>
                <w:color w:val="000000"/>
                <w:sz w:val="20"/>
                <w:szCs w:val="20"/>
              </w:rPr>
              <w:t>Lutzky</w:t>
            </w:r>
            <w:proofErr w:type="spellEnd"/>
            <w:r w:rsidRPr="000E0B4D">
              <w:rPr>
                <w:rFonts w:ascii="SohoGothicPro-Regular" w:hAnsi="SohoGothicPro-Regular" w:cs="SohoGothicPro-Regular"/>
                <w:color w:val="000000"/>
                <w:sz w:val="20"/>
                <w:szCs w:val="20"/>
              </w:rPr>
              <w:t xml:space="preserve">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5A9278B" w14:textId="77777777" w:rsidR="00B87EFB" w:rsidRDefault="00B87EFB" w:rsidP="00B20657">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455EADBA" w14:textId="77777777" w:rsidR="00B87EFB" w:rsidRPr="00B87EFB" w:rsidRDefault="00B87EFB" w:rsidP="00B20657">
            <w:pPr>
              <w:outlineLvl w:val="0"/>
              <w:rPr>
                <w:rStyle w:val="Hyperlink"/>
                <w:rFonts w:asciiTheme="minorHAnsi" w:eastAsiaTheme="majorEastAsia" w:hAnsiTheme="minorHAnsi" w:cstheme="minorHAnsi"/>
                <w:sz w:val="20"/>
                <w:szCs w:val="20"/>
              </w:rPr>
            </w:pPr>
            <w:hyperlink r:id="rId11" w:history="1">
              <w:r w:rsidRPr="00B87EFB">
                <w:rPr>
                  <w:rStyle w:val="Hyperlink"/>
                  <w:rFonts w:asciiTheme="minorHAnsi" w:eastAsiaTheme="majorEastAsia" w:hAnsiTheme="minorHAnsi" w:cstheme="minorHAnsi"/>
                  <w:sz w:val="20"/>
                  <w:szCs w:val="20"/>
                </w:rPr>
                <w:t>wolfgang.lutzky@elektrabregenz.com</w:t>
              </w:r>
            </w:hyperlink>
          </w:p>
          <w:p w14:paraId="5C3B952E" w14:textId="77777777" w:rsidR="00B87EFB" w:rsidRPr="00ED3B97" w:rsidRDefault="00B87EFB" w:rsidP="00B20657">
            <w:pPr>
              <w:outlineLvl w:val="0"/>
              <w:rPr>
                <w:rFonts w:ascii="SohoGothicPro-Regular" w:hAnsi="SohoGothicPro-Regular" w:cs="SohoGothicPro-Regular"/>
                <w:color w:val="000000"/>
                <w:sz w:val="20"/>
                <w:szCs w:val="20"/>
              </w:rPr>
            </w:pPr>
          </w:p>
        </w:tc>
      </w:tr>
    </w:tbl>
    <w:p w14:paraId="28700835" w14:textId="04DBA38E"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715A" w14:textId="77777777" w:rsidR="002F4E15" w:rsidRDefault="002F4E15" w:rsidP="00EA106E">
      <w:r>
        <w:separator/>
      </w:r>
    </w:p>
  </w:endnote>
  <w:endnote w:type="continuationSeparator" w:id="0">
    <w:p w14:paraId="4CFF8B95" w14:textId="77777777" w:rsidR="002F4E15" w:rsidRDefault="002F4E15"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Regular">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847F" w14:textId="77777777" w:rsidR="002F4E15" w:rsidRDefault="002F4E15" w:rsidP="00EA106E">
      <w:r>
        <w:separator/>
      </w:r>
    </w:p>
  </w:footnote>
  <w:footnote w:type="continuationSeparator" w:id="0">
    <w:p w14:paraId="306E98E2" w14:textId="77777777" w:rsidR="002F4E15" w:rsidRDefault="002F4E15"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02D9F9BC" w:rsidR="0029596C" w:rsidRDefault="0029596C" w:rsidP="007F5B6E">
    <w:pPr>
      <w:pStyle w:val="Kopfzeile"/>
      <w:ind w:left="-624"/>
      <w:jc w:val="right"/>
      <w:rPr>
        <w:noProof/>
      </w:rPr>
    </w:pPr>
    <w:r>
      <w:rPr>
        <w:noProof/>
      </w:rPr>
      <w:drawing>
        <wp:anchor distT="0" distB="0" distL="114300" distR="114300" simplePos="0" relativeHeight="251665408" behindDoc="1" locked="0" layoutInCell="1" allowOverlap="1" wp14:anchorId="1C4E319B" wp14:editId="2CFAE85F">
          <wp:simplePos x="0" y="0"/>
          <wp:positionH relativeFrom="margin">
            <wp:posOffset>2614930</wp:posOffset>
          </wp:positionH>
          <wp:positionV relativeFrom="margin">
            <wp:posOffset>-441325</wp:posOffset>
          </wp:positionV>
          <wp:extent cx="507194" cy="288000"/>
          <wp:effectExtent l="0" t="0" r="7620" b="0"/>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94" cy="288000"/>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6432" behindDoc="0" locked="0" layoutInCell="1" allowOverlap="1" wp14:anchorId="53C754BD" wp14:editId="39679BCD">
          <wp:simplePos x="0" y="0"/>
          <wp:positionH relativeFrom="margin">
            <wp:align>left</wp:align>
          </wp:positionH>
          <wp:positionV relativeFrom="margin">
            <wp:posOffset>-442595</wp:posOffset>
          </wp:positionV>
          <wp:extent cx="1244633" cy="162000"/>
          <wp:effectExtent l="0" t="0" r="0" b="9525"/>
          <wp:wrapSquare wrapText="bothSides"/>
          <wp:docPr id="9" name="Grafik 8">
            <a:extLst xmlns:a="http://schemas.openxmlformats.org/drawingml/2006/main">
              <a:ext uri="{FF2B5EF4-FFF2-40B4-BE49-F238E27FC236}">
                <a16:creationId xmlns:a16="http://schemas.microsoft.com/office/drawing/2014/main" id="{9ABFB5E1-39CF-A047-9E0D-CCED8DB51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9ABFB5E1-39CF-A047-9E0D-CCED8DB51E0A}"/>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11095" t="37599" r="11722" b="35567"/>
                  <a:stretch/>
                </pic:blipFill>
                <pic:spPr bwMode="auto">
                  <a:xfrm>
                    <a:off x="0" y="0"/>
                    <a:ext cx="1244633" cy="1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B6E">
      <w:rPr>
        <w:noProof/>
      </w:rPr>
      <w:drawing>
        <wp:anchor distT="0" distB="0" distL="114300" distR="114300" simplePos="0" relativeHeight="251667456" behindDoc="0" locked="0" layoutInCell="1" allowOverlap="1" wp14:anchorId="33493F14" wp14:editId="5BE1BADA">
          <wp:simplePos x="0" y="0"/>
          <wp:positionH relativeFrom="margin">
            <wp:align>right</wp:align>
          </wp:positionH>
          <wp:positionV relativeFrom="topMargin">
            <wp:posOffset>457200</wp:posOffset>
          </wp:positionV>
          <wp:extent cx="1301750" cy="203200"/>
          <wp:effectExtent l="0" t="0" r="0" b="6350"/>
          <wp:wrapSquare wrapText="bothSides"/>
          <wp:docPr id="3" name="Grafik 2">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4B8ADB3-9120-4747-9B5E-A0F2128FB0EA}"/>
                      </a:ext>
                    </a:extLst>
                  </pic:cNvPr>
                  <pic:cNvPicPr>
                    <a:picLocks noChangeAspect="1"/>
                  </pic:cNvPicPr>
                </pic:nvPicPr>
                <pic:blipFill rotWithShape="1">
                  <a:blip r:embed="rId3"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6"/>
  </w:num>
  <w:num w:numId="5">
    <w:abstractNumId w:val="4"/>
  </w:num>
  <w:num w:numId="6">
    <w:abstractNumId w:val="7"/>
  </w:num>
  <w:num w:numId="7">
    <w:abstractNumId w:val="0"/>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24DDA"/>
    <w:rsid w:val="00025868"/>
    <w:rsid w:val="000268A5"/>
    <w:rsid w:val="000270E2"/>
    <w:rsid w:val="000319D9"/>
    <w:rsid w:val="000342E5"/>
    <w:rsid w:val="00040DAC"/>
    <w:rsid w:val="000429B3"/>
    <w:rsid w:val="00044E0B"/>
    <w:rsid w:val="00045FAB"/>
    <w:rsid w:val="00047D37"/>
    <w:rsid w:val="000512A9"/>
    <w:rsid w:val="00065159"/>
    <w:rsid w:val="000669E1"/>
    <w:rsid w:val="00070B67"/>
    <w:rsid w:val="00071303"/>
    <w:rsid w:val="000802B8"/>
    <w:rsid w:val="000841AB"/>
    <w:rsid w:val="000846C1"/>
    <w:rsid w:val="00087223"/>
    <w:rsid w:val="00090A12"/>
    <w:rsid w:val="000922C2"/>
    <w:rsid w:val="000925F9"/>
    <w:rsid w:val="000930F4"/>
    <w:rsid w:val="00093CEA"/>
    <w:rsid w:val="00096F9E"/>
    <w:rsid w:val="000A45A2"/>
    <w:rsid w:val="000B5213"/>
    <w:rsid w:val="000B5607"/>
    <w:rsid w:val="000C2B7F"/>
    <w:rsid w:val="000D420C"/>
    <w:rsid w:val="000D4407"/>
    <w:rsid w:val="000E07F2"/>
    <w:rsid w:val="000E7BE5"/>
    <w:rsid w:val="000F1394"/>
    <w:rsid w:val="000F2C49"/>
    <w:rsid w:val="000F2C56"/>
    <w:rsid w:val="000F762A"/>
    <w:rsid w:val="001003DF"/>
    <w:rsid w:val="00103027"/>
    <w:rsid w:val="00110B74"/>
    <w:rsid w:val="00110D93"/>
    <w:rsid w:val="001124FF"/>
    <w:rsid w:val="001134CA"/>
    <w:rsid w:val="00114B23"/>
    <w:rsid w:val="00117134"/>
    <w:rsid w:val="00121E49"/>
    <w:rsid w:val="001240CE"/>
    <w:rsid w:val="00124154"/>
    <w:rsid w:val="00126B53"/>
    <w:rsid w:val="001312AC"/>
    <w:rsid w:val="001341CD"/>
    <w:rsid w:val="00135545"/>
    <w:rsid w:val="00141AD8"/>
    <w:rsid w:val="0014511B"/>
    <w:rsid w:val="00154137"/>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7B7D"/>
    <w:rsid w:val="001C4A0E"/>
    <w:rsid w:val="001C7283"/>
    <w:rsid w:val="001C79EC"/>
    <w:rsid w:val="001D6856"/>
    <w:rsid w:val="001E0441"/>
    <w:rsid w:val="001E6775"/>
    <w:rsid w:val="001E6D15"/>
    <w:rsid w:val="001E779C"/>
    <w:rsid w:val="0020376A"/>
    <w:rsid w:val="002118C3"/>
    <w:rsid w:val="0021436E"/>
    <w:rsid w:val="002163CD"/>
    <w:rsid w:val="002176E6"/>
    <w:rsid w:val="002178DE"/>
    <w:rsid w:val="00221E60"/>
    <w:rsid w:val="002259EA"/>
    <w:rsid w:val="00236E6B"/>
    <w:rsid w:val="0023733E"/>
    <w:rsid w:val="00241905"/>
    <w:rsid w:val="00244DA6"/>
    <w:rsid w:val="00245C2E"/>
    <w:rsid w:val="0024613A"/>
    <w:rsid w:val="00261F24"/>
    <w:rsid w:val="00264642"/>
    <w:rsid w:val="0028158E"/>
    <w:rsid w:val="0028363B"/>
    <w:rsid w:val="00286F0E"/>
    <w:rsid w:val="00287476"/>
    <w:rsid w:val="00291EB0"/>
    <w:rsid w:val="00295550"/>
    <w:rsid w:val="0029596C"/>
    <w:rsid w:val="00297534"/>
    <w:rsid w:val="002A10D8"/>
    <w:rsid w:val="002B792B"/>
    <w:rsid w:val="002C46B3"/>
    <w:rsid w:val="002D072A"/>
    <w:rsid w:val="002D2FE2"/>
    <w:rsid w:val="002D726D"/>
    <w:rsid w:val="002E378E"/>
    <w:rsid w:val="002E6C76"/>
    <w:rsid w:val="002F34E4"/>
    <w:rsid w:val="002F4E15"/>
    <w:rsid w:val="002F693D"/>
    <w:rsid w:val="002F78C4"/>
    <w:rsid w:val="003156E9"/>
    <w:rsid w:val="0033201E"/>
    <w:rsid w:val="00340C0A"/>
    <w:rsid w:val="00342B0A"/>
    <w:rsid w:val="00347258"/>
    <w:rsid w:val="00350515"/>
    <w:rsid w:val="00351F95"/>
    <w:rsid w:val="0035203B"/>
    <w:rsid w:val="00363688"/>
    <w:rsid w:val="003668C8"/>
    <w:rsid w:val="00367F54"/>
    <w:rsid w:val="003710FE"/>
    <w:rsid w:val="003770F7"/>
    <w:rsid w:val="00380C22"/>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6330"/>
    <w:rsid w:val="003D69A6"/>
    <w:rsid w:val="003E12DA"/>
    <w:rsid w:val="003E5F4A"/>
    <w:rsid w:val="003E63D7"/>
    <w:rsid w:val="003F076D"/>
    <w:rsid w:val="004011B6"/>
    <w:rsid w:val="00401394"/>
    <w:rsid w:val="0040417B"/>
    <w:rsid w:val="0041042B"/>
    <w:rsid w:val="004147C3"/>
    <w:rsid w:val="0041565B"/>
    <w:rsid w:val="004166AE"/>
    <w:rsid w:val="004171A2"/>
    <w:rsid w:val="00437EFD"/>
    <w:rsid w:val="00441E03"/>
    <w:rsid w:val="00445D06"/>
    <w:rsid w:val="00446B9A"/>
    <w:rsid w:val="00452E2A"/>
    <w:rsid w:val="00465768"/>
    <w:rsid w:val="004664C2"/>
    <w:rsid w:val="004712AC"/>
    <w:rsid w:val="00471947"/>
    <w:rsid w:val="00472857"/>
    <w:rsid w:val="00477FC2"/>
    <w:rsid w:val="00481742"/>
    <w:rsid w:val="00483096"/>
    <w:rsid w:val="004A3455"/>
    <w:rsid w:val="004A38D0"/>
    <w:rsid w:val="004A3F0D"/>
    <w:rsid w:val="004C079B"/>
    <w:rsid w:val="004C1789"/>
    <w:rsid w:val="004C305A"/>
    <w:rsid w:val="004C40DE"/>
    <w:rsid w:val="004C4601"/>
    <w:rsid w:val="004C629E"/>
    <w:rsid w:val="004C6427"/>
    <w:rsid w:val="004C7498"/>
    <w:rsid w:val="004D118F"/>
    <w:rsid w:val="004D3F31"/>
    <w:rsid w:val="004E257F"/>
    <w:rsid w:val="004E5052"/>
    <w:rsid w:val="004E5706"/>
    <w:rsid w:val="004E6FB0"/>
    <w:rsid w:val="004E7A65"/>
    <w:rsid w:val="004E7F28"/>
    <w:rsid w:val="004F1FE0"/>
    <w:rsid w:val="004F5AC0"/>
    <w:rsid w:val="0050262C"/>
    <w:rsid w:val="0050363B"/>
    <w:rsid w:val="0052095F"/>
    <w:rsid w:val="00522028"/>
    <w:rsid w:val="005253E1"/>
    <w:rsid w:val="00525A16"/>
    <w:rsid w:val="005365EE"/>
    <w:rsid w:val="00540D12"/>
    <w:rsid w:val="005411D6"/>
    <w:rsid w:val="00541FFC"/>
    <w:rsid w:val="00546658"/>
    <w:rsid w:val="005466AD"/>
    <w:rsid w:val="005471BF"/>
    <w:rsid w:val="00552ADB"/>
    <w:rsid w:val="00554EAC"/>
    <w:rsid w:val="00555B0B"/>
    <w:rsid w:val="00571246"/>
    <w:rsid w:val="005712FB"/>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405A"/>
    <w:rsid w:val="005E49F3"/>
    <w:rsid w:val="005F192C"/>
    <w:rsid w:val="005F3F4C"/>
    <w:rsid w:val="005F4CC4"/>
    <w:rsid w:val="00602E07"/>
    <w:rsid w:val="00605A91"/>
    <w:rsid w:val="00606335"/>
    <w:rsid w:val="0061224F"/>
    <w:rsid w:val="00613E20"/>
    <w:rsid w:val="006153F6"/>
    <w:rsid w:val="00627807"/>
    <w:rsid w:val="00636B3C"/>
    <w:rsid w:val="006371B1"/>
    <w:rsid w:val="00644A17"/>
    <w:rsid w:val="00650176"/>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A4569"/>
    <w:rsid w:val="006B3A3D"/>
    <w:rsid w:val="006B69E0"/>
    <w:rsid w:val="006C4E8A"/>
    <w:rsid w:val="006C5827"/>
    <w:rsid w:val="006D11DB"/>
    <w:rsid w:val="006D39F8"/>
    <w:rsid w:val="006D7CB4"/>
    <w:rsid w:val="006E26A7"/>
    <w:rsid w:val="006E3AAE"/>
    <w:rsid w:val="006E55FB"/>
    <w:rsid w:val="00700A7B"/>
    <w:rsid w:val="007011FD"/>
    <w:rsid w:val="00701C0F"/>
    <w:rsid w:val="00706148"/>
    <w:rsid w:val="00713972"/>
    <w:rsid w:val="007168EE"/>
    <w:rsid w:val="007176CE"/>
    <w:rsid w:val="00717DAC"/>
    <w:rsid w:val="00730A0B"/>
    <w:rsid w:val="00733FC9"/>
    <w:rsid w:val="00735FDF"/>
    <w:rsid w:val="007361FC"/>
    <w:rsid w:val="00736D61"/>
    <w:rsid w:val="007370A9"/>
    <w:rsid w:val="007375B7"/>
    <w:rsid w:val="007423B8"/>
    <w:rsid w:val="007510C3"/>
    <w:rsid w:val="00754442"/>
    <w:rsid w:val="00761F57"/>
    <w:rsid w:val="00762196"/>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7140"/>
    <w:rsid w:val="007A75AB"/>
    <w:rsid w:val="007B292B"/>
    <w:rsid w:val="007C2CC6"/>
    <w:rsid w:val="007C7F26"/>
    <w:rsid w:val="007D017D"/>
    <w:rsid w:val="007D4C42"/>
    <w:rsid w:val="007D76A3"/>
    <w:rsid w:val="007E0D7F"/>
    <w:rsid w:val="007E125C"/>
    <w:rsid w:val="007E3BDF"/>
    <w:rsid w:val="007E3EA2"/>
    <w:rsid w:val="007E63EA"/>
    <w:rsid w:val="007E6496"/>
    <w:rsid w:val="007E7FF4"/>
    <w:rsid w:val="007F35AC"/>
    <w:rsid w:val="007F5B6E"/>
    <w:rsid w:val="007F5DE3"/>
    <w:rsid w:val="008006FC"/>
    <w:rsid w:val="008048E3"/>
    <w:rsid w:val="00807741"/>
    <w:rsid w:val="0081000B"/>
    <w:rsid w:val="008133E1"/>
    <w:rsid w:val="00814941"/>
    <w:rsid w:val="00815BF2"/>
    <w:rsid w:val="008162FB"/>
    <w:rsid w:val="0082414F"/>
    <w:rsid w:val="008244D7"/>
    <w:rsid w:val="0083031D"/>
    <w:rsid w:val="00831C6C"/>
    <w:rsid w:val="00832983"/>
    <w:rsid w:val="00835BE7"/>
    <w:rsid w:val="008403E1"/>
    <w:rsid w:val="00841C7F"/>
    <w:rsid w:val="00854C71"/>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4CE0"/>
    <w:rsid w:val="008C0B49"/>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12350"/>
    <w:rsid w:val="00912A34"/>
    <w:rsid w:val="00922D4E"/>
    <w:rsid w:val="0092701B"/>
    <w:rsid w:val="0093225A"/>
    <w:rsid w:val="0093471C"/>
    <w:rsid w:val="00952D83"/>
    <w:rsid w:val="00953304"/>
    <w:rsid w:val="00957C67"/>
    <w:rsid w:val="0096172A"/>
    <w:rsid w:val="009617C0"/>
    <w:rsid w:val="009700CE"/>
    <w:rsid w:val="00974B86"/>
    <w:rsid w:val="00974D58"/>
    <w:rsid w:val="0098486A"/>
    <w:rsid w:val="009858DA"/>
    <w:rsid w:val="00986C0D"/>
    <w:rsid w:val="00986EC3"/>
    <w:rsid w:val="009871F1"/>
    <w:rsid w:val="009A0EE9"/>
    <w:rsid w:val="009A2D7E"/>
    <w:rsid w:val="009A343B"/>
    <w:rsid w:val="009A3AEA"/>
    <w:rsid w:val="009A66AE"/>
    <w:rsid w:val="009A7FD8"/>
    <w:rsid w:val="009B645A"/>
    <w:rsid w:val="009B793B"/>
    <w:rsid w:val="009B7B31"/>
    <w:rsid w:val="009B7B8D"/>
    <w:rsid w:val="009C6457"/>
    <w:rsid w:val="009C7A8E"/>
    <w:rsid w:val="009C7E29"/>
    <w:rsid w:val="009D532B"/>
    <w:rsid w:val="009D6C18"/>
    <w:rsid w:val="009E0F45"/>
    <w:rsid w:val="009E1F26"/>
    <w:rsid w:val="009F6218"/>
    <w:rsid w:val="00A108EB"/>
    <w:rsid w:val="00A11956"/>
    <w:rsid w:val="00A22FE3"/>
    <w:rsid w:val="00A24166"/>
    <w:rsid w:val="00A3349E"/>
    <w:rsid w:val="00A4385E"/>
    <w:rsid w:val="00A438FB"/>
    <w:rsid w:val="00A44919"/>
    <w:rsid w:val="00A458C5"/>
    <w:rsid w:val="00A53134"/>
    <w:rsid w:val="00A53C1A"/>
    <w:rsid w:val="00A62AC1"/>
    <w:rsid w:val="00A67E12"/>
    <w:rsid w:val="00A71B83"/>
    <w:rsid w:val="00A74351"/>
    <w:rsid w:val="00A8099C"/>
    <w:rsid w:val="00A844C7"/>
    <w:rsid w:val="00A91BE4"/>
    <w:rsid w:val="00A96593"/>
    <w:rsid w:val="00A97ECA"/>
    <w:rsid w:val="00AA0F3B"/>
    <w:rsid w:val="00AB1D28"/>
    <w:rsid w:val="00AB72B7"/>
    <w:rsid w:val="00AC0B65"/>
    <w:rsid w:val="00AC20EF"/>
    <w:rsid w:val="00AC2B36"/>
    <w:rsid w:val="00AC36E4"/>
    <w:rsid w:val="00AC3FBC"/>
    <w:rsid w:val="00AD222D"/>
    <w:rsid w:val="00AD38FB"/>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5069"/>
    <w:rsid w:val="00B33D26"/>
    <w:rsid w:val="00B40C19"/>
    <w:rsid w:val="00B47257"/>
    <w:rsid w:val="00B5020A"/>
    <w:rsid w:val="00B53C9D"/>
    <w:rsid w:val="00B5630C"/>
    <w:rsid w:val="00B6216D"/>
    <w:rsid w:val="00B6315E"/>
    <w:rsid w:val="00B7067E"/>
    <w:rsid w:val="00B72342"/>
    <w:rsid w:val="00B74A8B"/>
    <w:rsid w:val="00B74AF7"/>
    <w:rsid w:val="00B759C5"/>
    <w:rsid w:val="00B8267A"/>
    <w:rsid w:val="00B84490"/>
    <w:rsid w:val="00B85D0D"/>
    <w:rsid w:val="00B87EFB"/>
    <w:rsid w:val="00B91861"/>
    <w:rsid w:val="00B9356E"/>
    <w:rsid w:val="00BA24EF"/>
    <w:rsid w:val="00BA3629"/>
    <w:rsid w:val="00BA4C0D"/>
    <w:rsid w:val="00BB119E"/>
    <w:rsid w:val="00BB2CB3"/>
    <w:rsid w:val="00BB30E2"/>
    <w:rsid w:val="00BB6F1F"/>
    <w:rsid w:val="00BC2A7C"/>
    <w:rsid w:val="00BC303A"/>
    <w:rsid w:val="00BC3331"/>
    <w:rsid w:val="00BC34EB"/>
    <w:rsid w:val="00BC3830"/>
    <w:rsid w:val="00BC5158"/>
    <w:rsid w:val="00BD2A42"/>
    <w:rsid w:val="00BD2E11"/>
    <w:rsid w:val="00BD45E4"/>
    <w:rsid w:val="00BE225B"/>
    <w:rsid w:val="00BE2B07"/>
    <w:rsid w:val="00BE36FA"/>
    <w:rsid w:val="00BE7113"/>
    <w:rsid w:val="00BF02AC"/>
    <w:rsid w:val="00BF225C"/>
    <w:rsid w:val="00BF39D2"/>
    <w:rsid w:val="00BF7152"/>
    <w:rsid w:val="00C04461"/>
    <w:rsid w:val="00C057FF"/>
    <w:rsid w:val="00C06D61"/>
    <w:rsid w:val="00C10D93"/>
    <w:rsid w:val="00C13240"/>
    <w:rsid w:val="00C14B69"/>
    <w:rsid w:val="00C16854"/>
    <w:rsid w:val="00C16EA6"/>
    <w:rsid w:val="00C2433A"/>
    <w:rsid w:val="00C25143"/>
    <w:rsid w:val="00C2612A"/>
    <w:rsid w:val="00C32800"/>
    <w:rsid w:val="00C33360"/>
    <w:rsid w:val="00C338FD"/>
    <w:rsid w:val="00C35045"/>
    <w:rsid w:val="00C44998"/>
    <w:rsid w:val="00C46A1F"/>
    <w:rsid w:val="00C53094"/>
    <w:rsid w:val="00C63184"/>
    <w:rsid w:val="00C65436"/>
    <w:rsid w:val="00C67879"/>
    <w:rsid w:val="00C67B46"/>
    <w:rsid w:val="00C763BC"/>
    <w:rsid w:val="00C803AE"/>
    <w:rsid w:val="00C8300E"/>
    <w:rsid w:val="00C84A60"/>
    <w:rsid w:val="00C91360"/>
    <w:rsid w:val="00C922B1"/>
    <w:rsid w:val="00C93779"/>
    <w:rsid w:val="00C93FF6"/>
    <w:rsid w:val="00C94B89"/>
    <w:rsid w:val="00C97F19"/>
    <w:rsid w:val="00CA5307"/>
    <w:rsid w:val="00CA63FB"/>
    <w:rsid w:val="00CB1132"/>
    <w:rsid w:val="00CB34E5"/>
    <w:rsid w:val="00CC1646"/>
    <w:rsid w:val="00CC451A"/>
    <w:rsid w:val="00CC78C4"/>
    <w:rsid w:val="00CD7530"/>
    <w:rsid w:val="00CE7CFF"/>
    <w:rsid w:val="00CF1D19"/>
    <w:rsid w:val="00CF1EE3"/>
    <w:rsid w:val="00CF67BE"/>
    <w:rsid w:val="00D02B3C"/>
    <w:rsid w:val="00D06B0C"/>
    <w:rsid w:val="00D11210"/>
    <w:rsid w:val="00D1122F"/>
    <w:rsid w:val="00D134C9"/>
    <w:rsid w:val="00D209DD"/>
    <w:rsid w:val="00D24A76"/>
    <w:rsid w:val="00D26ADE"/>
    <w:rsid w:val="00D26AE3"/>
    <w:rsid w:val="00D30CBA"/>
    <w:rsid w:val="00D3183E"/>
    <w:rsid w:val="00D365E4"/>
    <w:rsid w:val="00D4029D"/>
    <w:rsid w:val="00D46370"/>
    <w:rsid w:val="00D54A1A"/>
    <w:rsid w:val="00D55A5F"/>
    <w:rsid w:val="00D57752"/>
    <w:rsid w:val="00D609A1"/>
    <w:rsid w:val="00D61229"/>
    <w:rsid w:val="00D62119"/>
    <w:rsid w:val="00D63D9B"/>
    <w:rsid w:val="00D763A8"/>
    <w:rsid w:val="00D76ACD"/>
    <w:rsid w:val="00D84076"/>
    <w:rsid w:val="00D859D5"/>
    <w:rsid w:val="00D87923"/>
    <w:rsid w:val="00D96623"/>
    <w:rsid w:val="00DA17BC"/>
    <w:rsid w:val="00DA69C5"/>
    <w:rsid w:val="00DA7A32"/>
    <w:rsid w:val="00DA7BE9"/>
    <w:rsid w:val="00DB4893"/>
    <w:rsid w:val="00DB5DA5"/>
    <w:rsid w:val="00DB6618"/>
    <w:rsid w:val="00DB69C8"/>
    <w:rsid w:val="00DB6B49"/>
    <w:rsid w:val="00DC306B"/>
    <w:rsid w:val="00DD0734"/>
    <w:rsid w:val="00DD0B79"/>
    <w:rsid w:val="00DD418F"/>
    <w:rsid w:val="00DE1F2C"/>
    <w:rsid w:val="00DE35F2"/>
    <w:rsid w:val="00DE5081"/>
    <w:rsid w:val="00DE6AA5"/>
    <w:rsid w:val="00E02715"/>
    <w:rsid w:val="00E04EBC"/>
    <w:rsid w:val="00E110DF"/>
    <w:rsid w:val="00E12CBA"/>
    <w:rsid w:val="00E14E76"/>
    <w:rsid w:val="00E15AF7"/>
    <w:rsid w:val="00E168F3"/>
    <w:rsid w:val="00E17A9F"/>
    <w:rsid w:val="00E21057"/>
    <w:rsid w:val="00E24EC7"/>
    <w:rsid w:val="00E33710"/>
    <w:rsid w:val="00E33EAE"/>
    <w:rsid w:val="00E33FB8"/>
    <w:rsid w:val="00E35B7F"/>
    <w:rsid w:val="00E35CC2"/>
    <w:rsid w:val="00E463D5"/>
    <w:rsid w:val="00E523F3"/>
    <w:rsid w:val="00E55222"/>
    <w:rsid w:val="00E609ED"/>
    <w:rsid w:val="00E60B50"/>
    <w:rsid w:val="00E65AA7"/>
    <w:rsid w:val="00E65C24"/>
    <w:rsid w:val="00E84C38"/>
    <w:rsid w:val="00E84F2E"/>
    <w:rsid w:val="00E90C83"/>
    <w:rsid w:val="00E9110F"/>
    <w:rsid w:val="00EA106E"/>
    <w:rsid w:val="00EA3E2F"/>
    <w:rsid w:val="00EA41B0"/>
    <w:rsid w:val="00EA51EA"/>
    <w:rsid w:val="00EB0C6E"/>
    <w:rsid w:val="00EB2649"/>
    <w:rsid w:val="00EB4772"/>
    <w:rsid w:val="00EB5A93"/>
    <w:rsid w:val="00EB6C11"/>
    <w:rsid w:val="00EB6C7C"/>
    <w:rsid w:val="00EB7CEB"/>
    <w:rsid w:val="00EC2E76"/>
    <w:rsid w:val="00EC6FE9"/>
    <w:rsid w:val="00ED51DC"/>
    <w:rsid w:val="00EF72B4"/>
    <w:rsid w:val="00F006BF"/>
    <w:rsid w:val="00F00D95"/>
    <w:rsid w:val="00F05DCF"/>
    <w:rsid w:val="00F05E6A"/>
    <w:rsid w:val="00F0684A"/>
    <w:rsid w:val="00F07B8D"/>
    <w:rsid w:val="00F104EE"/>
    <w:rsid w:val="00F171F5"/>
    <w:rsid w:val="00F33F00"/>
    <w:rsid w:val="00F35373"/>
    <w:rsid w:val="00F4489A"/>
    <w:rsid w:val="00F44B34"/>
    <w:rsid w:val="00F4750E"/>
    <w:rsid w:val="00F55A5F"/>
    <w:rsid w:val="00F55C3A"/>
    <w:rsid w:val="00F66890"/>
    <w:rsid w:val="00F80C0C"/>
    <w:rsid w:val="00F81D4E"/>
    <w:rsid w:val="00F82EEA"/>
    <w:rsid w:val="00F82FA7"/>
    <w:rsid w:val="00F8394F"/>
    <w:rsid w:val="00F93902"/>
    <w:rsid w:val="00F9665D"/>
    <w:rsid w:val="00F97270"/>
    <w:rsid w:val="00FA2A06"/>
    <w:rsid w:val="00FA3F45"/>
    <w:rsid w:val="00FA7549"/>
    <w:rsid w:val="00FC1ED1"/>
    <w:rsid w:val="00FC4BDC"/>
    <w:rsid w:val="00FC4C1F"/>
    <w:rsid w:val="00FC70FE"/>
    <w:rsid w:val="00FD00C2"/>
    <w:rsid w:val="00FD29EB"/>
    <w:rsid w:val="00FD3A9E"/>
    <w:rsid w:val="00FD58A3"/>
    <w:rsid w:val="00FD7964"/>
    <w:rsid w:val="00FE0BB8"/>
    <w:rsid w:val="00FE6358"/>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25A16"/>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5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character" w:styleId="Kommentarzeichen">
    <w:name w:val="annotation reference"/>
    <w:basedOn w:val="Absatz-Standardschriftart"/>
    <w:uiPriority w:val="99"/>
    <w:semiHidden/>
    <w:unhideWhenUsed/>
    <w:rsid w:val="00B87EFB"/>
    <w:rPr>
      <w:sz w:val="16"/>
      <w:szCs w:val="16"/>
    </w:rPr>
  </w:style>
  <w:style w:type="paragraph" w:styleId="Kommentartext">
    <w:name w:val="annotation text"/>
    <w:basedOn w:val="Standard"/>
    <w:link w:val="KommentartextZchn"/>
    <w:uiPriority w:val="99"/>
    <w:semiHidden/>
    <w:unhideWhenUsed/>
    <w:rsid w:val="00B87EFB"/>
    <w:pPr>
      <w:spacing w:after="160"/>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B87EFB"/>
    <w:rPr>
      <w:sz w:val="20"/>
      <w:szCs w:val="20"/>
      <w:lang w:val="en-US"/>
    </w:rPr>
  </w:style>
  <w:style w:type="paragraph" w:styleId="berarbeitung">
    <w:name w:val="Revision"/>
    <w:hidden/>
    <w:uiPriority w:val="99"/>
    <w:semiHidden/>
    <w:rsid w:val="00B87EFB"/>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market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fgang.lutzky@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arcelikglobal.com/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8785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cp:revision>
  <dcterms:created xsi:type="dcterms:W3CDTF">2019-10-25T09:33:00Z</dcterms:created>
  <dcterms:modified xsi:type="dcterms:W3CDTF">2021-11-08T15:53:00Z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